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Zentralstrasse 23, Uster,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B4474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BEREUTER Totalunternehmung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BEREUTER Totalunternehmung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WC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16m²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Plattenkleber</w:t>
            </w:r>
          </w:p>
        </w:tc>
        <w:tc>
          <w:tcPr>
            <w:noWrap/>
          </w:tcPr>
          <w:p>
            <w:pPr/>
            <w:r>
              <w:rPr/>
              <w:t xml:space="preserve">35m²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(elastische) Bodenbeläge</w:t>
            </w:r>
          </w:p>
        </w:tc>
        <w:tc>
          <w:tcPr>
            <w:noWrap/>
          </w:tcPr>
          <w:p>
            <w:pPr/>
            <w:r>
              <w:rPr/>
              <w:t xml:space="preserve">4</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Plattenkleber</w:t>
      </w:r>
      <w:r>
        <w:rPr>
          <w:sz w:val="24"/>
          <w:szCs w:val="24"/>
        </w:rPr>
        <w:t xml:space="preserve">: Der Plattenkleber in MaP-1 kann ausschliesslich durch Schadstoffsanierer unter Einhaltung der EKAS Richtlinien 6503 Kap. 7 rückgebaut werden. Abfälle sind mit dem LVA Code 17 06 05 S in einer geeigneten Deponie zu entsorgen.</w:t>
      </w:r>
      <w:br/>
      <w:r>
        <w:rPr>
          <w:sz w:val="24"/>
          <w:szCs w:val="24"/>
        </w:rPr>
        <w:t xml:space="preserve"/>
      </w:r>
      <w:br/>
      <w:r>
        <w:rPr>
          <w:sz w:val="24"/>
          <w:szCs w:val="24"/>
          <w:b w:val="1"/>
          <w:bCs w:val="1"/>
        </w:rPr>
        <w:t xml:space="preserve"/>
      </w:r>
      <w:r>
        <w:rPr>
          <w:sz w:val="24"/>
          <w:szCs w:val="24"/>
          <w:b w:val="1"/>
          <w:bCs w:val="1"/>
        </w:rPr>
        <w:t xml:space="preserve">MaP-2 (elastische) Bodenbeläge</w:t>
      </w:r>
      <w:r>
        <w:rPr>
          <w:sz w:val="24"/>
          <w:szCs w:val="24"/>
        </w:rPr>
        <w:t xml:space="preserve">: Die elastischen Bodenbeläge aus MaP-2 können von instruieren Handwerkern rückgebaut werden und müssen gemäß den Richtlinien 33049 entsorgt werden. Der LVA Code für die Entsorgung lautet 17 06 98 nk, was auf eine Deponierungstyp B hinweist.</w:t>
      </w:r>
      <w:br/>
      <w:r>
        <w:rPr>
          <w:sz w:val="24"/>
          <w:szCs w:val="24"/>
        </w:rPr>
        <w:t xml:space="preserve"/>
      </w:r>
      <w:br/>
      <w:r>
        <w:rPr>
          <w:sz w:val="24"/>
          <w:szCs w:val="24"/>
          <w:b w:val="1"/>
          <w:bCs w:val="1"/>
        </w:rPr>
        <w:t xml:space="preserve"/>
      </w:r>
      <w:r>
        <w:rPr>
          <w:sz w:val="24"/>
          <w:szCs w:val="24"/>
          <w:b w:val="1"/>
          <w:bCs w:val="1"/>
        </w:rPr>
        <w:t xml:space="preserve">MaP-4 Plattenkleber</w:t>
      </w:r>
      <w:r>
        <w:rPr>
          <w:sz w:val="24"/>
          <w:szCs w:val="24"/>
        </w:rPr>
        <w:t xml:space="preserve">: Der Plattenkleber in MaP-4 ist durch Schadstoffsanierer gemäss den Richtlinien EKAS 6503 Kap. 7 zu sanieren. Der zu entsorgende Abfall fällt unter den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Bad
</w:t>
            </w:r>
          </w:p>
          <w:p>
            <w:pPr/>
            <w:r>
              <w:rPr/>
              <w:t xml:space="preserve">OG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9" o:title=""/>
          </v:shape>
        </w:pict>
        <w:t/>
        <w:pict>
          <v:shape type="#_x0000_t75" style="width:1000px;height:706.96893366919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