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396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456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Fenner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DN456</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Fenner</w:t>
            </w:r>
            <w:bookmarkEnd w:id="12"/>
            <w:r w:rsidRPr="00FF365E">
              <w:rPr>
                <w:sz w:val="24"/>
                <w:szCs w:val="24"/>
                <w:lang w:val="en-GB"/>
              </w:rPr>
              <w:t xml:space="preserve"> </w:t>
            </w:r>
            <w:bookmarkStart w:id="13" w:name="OLE_LINK13"/>
            <w:r w:rsidRPr="00FF365E">
              <w:rPr>
                <w:sz w:val="24"/>
                <w:szCs w:val="24"/>
                <w:lang w:val="en-GB"/>
              </w:rPr>
              <w:t xml:space="preserve">DN456</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2025-09-03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98nk in einer Deponie Typ B zu entsorgen. Die Menge beträgt 52 Quadratmeter und erfordert die Anwendung von besonderen Schutzmassnahmen.</w:t>
      </w:r>
      <w:br/>
      <w:r>
        <w:rPr>
          <w:sz w:val="24"/>
          <w:szCs w:val="24"/>
        </w:rPr>
        <w:t xml:space="preserve"/>
      </w:r>
      <w:br/>
      <w:r>
        <w:rPr>
          <w:sz w:val="24"/>
          <w:szCs w:val="24"/>
          <w:b w:val="1"/>
          <w:bCs w:val="1"/>
        </w:rPr>
        <w:t xml:space="preserve"/>
      </w:r>
      <w:r>
        <w:rPr>
          <w:sz w:val="24"/>
          <w:szCs w:val="24"/>
          <w:b w:val="1"/>
          <w:bCs w:val="1"/>
        </w:rPr>
        <w:t xml:space="preserve">Probe-ID 2: Fensterkitt</w:t>
      </w:r>
      <w:r>
        <w:rPr>
          <w:sz w:val="24"/>
          <w:szCs w:val="24"/>
        </w:rPr>
        <w:t xml:space="preserve"/>
      </w:r>
      <w:br/>
      <w:r>
        <w:rPr>
          <w:sz w:val="24"/>
          <w:szCs w:val="24"/>
        </w:rPr>
        <w:t xml:space="preserve"/>
      </w:r>
      <w:br/>
      <w:r>
        <w:rPr>
          <w:sz w:val="24"/>
          <w:szCs w:val="24"/>
        </w:rPr>
        <w:t xml:space="preserve">Fensterkitt aus der Montage in Raum 32 muss von einem zertifizierten Schadstoffsanierer entfernt werden, da spezielle Entsorgungsrichtlinien 66543 beachtet werden müssen. Der LVA Code für die Entsorgung dieses Materials lautet 08 01 11, und die Gesamtmenge beträgt 6 Kilogramm.</w:t>
      </w:r>
      <w:br/>
      <w:r>
        <w:rPr>
          <w:sz w:val="24"/>
          <w:szCs w:val="24"/>
        </w:rPr>
        <w:t xml:space="preserve"/>
      </w:r>
      <w:br/>
      <w:r>
        <w:rPr>
          <w:sz w:val="24"/>
          <w:szCs w:val="24"/>
          <w:b w:val="1"/>
          <w:bCs w:val="1"/>
        </w:rPr>
        <w:t xml:space="preserve"/>
      </w:r>
      <w:r>
        <w:rPr>
          <w:sz w:val="24"/>
          <w:szCs w:val="24"/>
          <w:b w:val="1"/>
          <w:bCs w:val="1"/>
        </w:rPr>
        <w:t xml:space="preserve">Probe-ID 3: PVC-Bodenbelag</w:t>
      </w:r>
      <w:r>
        <w:rPr>
          <w:sz w:val="24"/>
          <w:szCs w:val="24"/>
        </w:rPr>
        <w:t xml:space="preserve"/>
      </w:r>
      <w:br/>
      <w:r>
        <w:rPr>
          <w:sz w:val="24"/>
          <w:szCs w:val="24"/>
        </w:rPr>
        <w:t xml:space="preserve"/>
      </w:r>
      <w:br/>
      <w:r>
        <w:rPr>
          <w:sz w:val="24"/>
          <w:szCs w:val="24"/>
        </w:rPr>
        <w:t xml:space="preserve">PVC-Bodenbelag, der in der Eingangshalle verbaut wurde, ist von der Schadstoffsanierer-Gruppe 12 gemäss den Richtlinien 99432 zu sanieren. Dieses Material fällt unter den LVA Code 17 09 03 und umfasst eine Fläche von 18 Quadratmetern.</w:t>
      </w:r>
      <w:br/>
      <w:r>
        <w:rPr>
          <w:sz w:val="24"/>
          <w:szCs w:val="24"/>
        </w:rPr>
        <w:t xml:space="preserve"/>
      </w:r>
      <w:br/>
      <w:r>
        <w:rPr>
          <w:sz w:val="24"/>
          <w:szCs w:val="24"/>
          <w:b w:val="1"/>
          <w:bCs w:val="1"/>
        </w:rPr>
        <w:t xml:space="preserve"/>
      </w:r>
      <w:r>
        <w:rPr>
          <w:sz w:val="24"/>
          <w:szCs w:val="24"/>
          <w:b w:val="1"/>
          <w:bCs w:val="1"/>
        </w:rPr>
        <w:t xml:space="preserve">Probe-ID 4: Mineralfaserdämmung</w:t>
      </w:r>
      <w:r>
        <w:rPr>
          <w:sz w:val="24"/>
          <w:szCs w:val="24"/>
        </w:rPr>
        <w:t xml:space="preserve"/>
      </w:r>
      <w:br/>
      <w:r>
        <w:rPr>
          <w:sz w:val="24"/>
          <w:szCs w:val="24"/>
        </w:rPr>
        <w:t xml:space="preserve"/>
      </w:r>
      <w:br/>
      <w:r>
        <w:rPr>
          <w:sz w:val="24"/>
          <w:szCs w:val="24"/>
        </w:rPr>
        <w:t xml:space="preserve">Mineralfaserdämmung aus dem Dachbereich muss durch instruierte Handwerker unter Beachtung der Richtlinien 22113 entfernt werden. Sie ist beim Typ C Deponie unter LVA Code 17 06 06 zu entsorgen, und die Menge beläuft sich auf insgesamt 45 Kubikmeter.</w:t>
      </w:r>
      <w:br/>
      <w:r>
        <w:rPr>
          <w:sz w:val="24"/>
          <w:szCs w:val="24"/>
        </w:rPr>
        <w:t xml:space="preserve"/>
      </w:r>
      <w:br/>
      <w:r>
        <w:rPr>
          <w:sz w:val="24"/>
          <w:szCs w:val="24"/>
          <w:b w:val="1"/>
          <w:bCs w:val="1"/>
        </w:rPr>
        <w:t xml:space="preserve"/>
      </w:r>
      <w:r>
        <w:rPr>
          <w:sz w:val="24"/>
          <w:szCs w:val="24"/>
          <w:b w:val="1"/>
          <w:bCs w:val="1"/>
        </w:rPr>
        <w:t xml:space="preserve">Probe-ID 5: Parkettkleber</w:t>
      </w:r>
      <w:r>
        <w:rPr>
          <w:sz w:val="24"/>
          <w:szCs w:val="24"/>
        </w:rPr>
        <w:t xml:space="preserve"/>
      </w:r>
      <w:br/>
      <w:r>
        <w:rPr>
          <w:sz w:val="24"/>
          <w:szCs w:val="24"/>
        </w:rPr>
        <w:t xml:space="preserve"/>
      </w:r>
      <w:br/>
      <w:r>
        <w:rPr>
          <w:sz w:val="24"/>
          <w:szCs w:val="24"/>
        </w:rPr>
        <w:t xml:space="preserve">Der Parkettkleber in Raum 15 erfordert eine Entfernung durch speziell ausgebildete Schadstoffsanierer, wobei die Richtlinien 77685 einzuhalten sind. Dabei muss der LVA Code 08 04 10 angewendet werden, und die Menge beträgt 9 Kilogramm.</w:t>
      </w:r>
      <w:br/>
      <w:r>
        <w:rPr>
          <w:sz w:val="24"/>
          <w:szCs w:val="24"/>
        </w:rPr>
        <w:t xml:space="preserve"/>
      </w:r>
      <w:br/>
      <w:r>
        <w:rPr>
          <w:sz w:val="24"/>
          <w:szCs w:val="24"/>
          <w:b w:val="1"/>
          <w:bCs w:val="1"/>
        </w:rPr>
        <w:t xml:space="preserve"/>
      </w:r>
      <w:r>
        <w:rPr>
          <w:sz w:val="24"/>
          <w:szCs w:val="24"/>
          <w:b w:val="1"/>
          <w:bCs w:val="1"/>
        </w:rPr>
        <w:t xml:space="preserve">Probe-ID 6: Dachpappe</w:t>
      </w:r>
      <w:r>
        <w:rPr>
          <w:sz w:val="24"/>
          <w:szCs w:val="24"/>
        </w:rPr>
        <w:t xml:space="preserve"/>
      </w:r>
      <w:br/>
      <w:r>
        <w:rPr>
          <w:sz w:val="24"/>
          <w:szCs w:val="24"/>
        </w:rPr>
        <w:t xml:space="preserve"/>
      </w:r>
      <w:br/>
      <w:r>
        <w:rPr>
          <w:sz w:val="24"/>
          <w:szCs w:val="24"/>
        </w:rPr>
        <w:t xml:space="preserve">Dachpappe vom Flachdach kann nach Einhaltung der Richtlinien 43992 von instruieren Handwerkern zurückgebaut werden. Die Entsorgung erfolgt unter dem LVA Code 17 03 80 und beinhaltet insgesamt 27 Quadratmeter Material.</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3001
</w:t>
            </w:r>
          </w:p>
          <w:p>
            <w:pPr/>
            <w:r>
              <w:rPr/>
              <w:t xml:space="preserve">EG
</w:t>
            </w:r>
          </w:p>
          <w:p>
            <w:pPr/>
            <w:r>
              <w:rPr/>
              <w:t xml:space="preserve">Bad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3001
</w:t>
            </w:r>
          </w:p>
          <w:p>
            <w:pPr/>
            <w:r>
              <w:rPr/>
              <w:t xml:space="preserve">EG
</w:t>
            </w:r>
          </w:p>
          <w:p>
            <w:pPr/>
            <w:r>
              <w:rPr/>
              <w:t xml:space="preserve">WC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3003
</w:t>
            </w:r>
          </w:p>
          <w:p>
            <w:pPr/>
            <w:r>
              <w:rPr/>
              <w:t xml:space="preserve">EG
</w:t>
            </w:r>
          </w:p>
          <w:p>
            <w:pPr/>
            <w:r>
              <w:rPr/>
              <w:t xml:space="preserve">WC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3003
</w:t>
            </w:r>
          </w:p>
          <w:p>
            <w:pPr/>
            <w:r>
              <w:rPr/>
              <w:t xml:space="preserve">EG
</w:t>
            </w:r>
          </w:p>
          <w:p>
            <w:pPr/>
            <w:r>
              <w:rPr/>
              <w:t xml:space="preserve">Bad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Office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Office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3006
</w:t>
            </w:r>
          </w:p>
          <w:p>
            <w:pPr/>
            <w:r>
              <w:rPr/>
              <w:t xml:space="preserve">EG
</w:t>
            </w:r>
          </w:p>
          <w:p>
            <w:pPr/>
            <w:r>
              <w:rPr/>
              <w:t xml:space="preserve">Bad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3004
</w:t>
            </w:r>
          </w:p>
          <w:p>
            <w:pPr/>
            <w:r>
              <w:rPr/>
              <w:t xml:space="preserve">EG
</w:t>
            </w:r>
          </w:p>
          <w:p>
            <w:pPr/>
            <w:r>
              <w:rPr/>
              <w:t xml:space="preserve">Bad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3002
</w:t>
            </w:r>
          </w:p>
          <w:p>
            <w:pPr/>
            <w:r>
              <w:rPr/>
              <w:t xml:space="preserve">EG
</w:t>
            </w:r>
          </w:p>
          <w:p>
            <w:pPr/>
            <w:r>
              <w:rPr/>
              <w:t xml:space="preserve">WC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3002
</w:t>
            </w:r>
          </w:p>
          <w:p>
            <w:pPr/>
            <w:r>
              <w:rPr/>
              <w:t xml:space="preserve">EG
</w:t>
            </w:r>
          </w:p>
          <w:p>
            <w:pPr/>
            <w:r>
              <w:rPr/>
              <w:t xml:space="preserve">Bad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3301
</w:t>
            </w:r>
          </w:p>
          <w:p>
            <w:pPr/>
            <w:r>
              <w:rPr/>
              <w:t xml:space="preserve">OG
</w:t>
            </w:r>
          </w:p>
          <w:p>
            <w:pPr/>
            <w:r>
              <w:rPr/>
              <w:t xml:space="preserve">Bad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3303
</w:t>
            </w:r>
          </w:p>
          <w:p>
            <w:pPr/>
            <w:r>
              <w:rPr/>
              <w:t xml:space="preserve">OG
</w:t>
            </w:r>
          </w:p>
          <w:p>
            <w:pPr/>
            <w:r>
              <w:rPr/>
              <w:t xml:space="preserve">Bad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3309
</w:t>
            </w:r>
          </w:p>
          <w:p>
            <w:pPr/>
            <w:r>
              <w:rPr/>
              <w:t xml:space="preserve">3. OG
</w:t>
            </w:r>
          </w:p>
          <w:p>
            <w:pPr/>
            <w:r>
              <w:rPr/>
              <w:t xml:space="preserve">Bad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VB-1</w:t>
            </w:r>
          </w:p>
        </w:tc>
        <w:tc>
          <w:tcPr>
            <w:shd w:val="clear" w:fill="green"/>
            <w:noWrap/>
          </w:tcPr>
          <w:p>
            <w:pPr/>
            <w:r>
              <w:rPr/>
              <w:t xml:space="preserve">3308
</w:t>
            </w:r>
          </w:p>
          <w:p>
            <w:pPr/>
            <w:r>
              <w:rPr/>
              <w:t xml:space="preserve">3. OG
</w:t>
            </w:r>
          </w:p>
          <w:p>
            <w:pPr/>
            <w:r>
              <w:rPr/>
              <w:t xml:space="preserve">Bad
</w:t>
            </w:r>
          </w:p>
        </w:tc>
        <w:tc>
          <w:tcPr>
            <w:shd w:val="clear" w:fill="green"/>
            <w:noWrap/>
          </w:tcPr>
          <w:p>
            <w:pPr/>
            <w:r>
              <w:rPr/>
              <w:t xml:space="preserve">VM-3
</w:t>
            </w:r>
          </w:p>
          <w:p>
            <w:pPr/>
            <w:r>
              <w:rPr/>
              <w:t xml:space="preserve">Trockenbausystem jünger als 1990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VB-2</w:t>
            </w:r>
          </w:p>
        </w:tc>
        <w:tc>
          <w:tcPr>
            <w:shd w:val="clear" w:fill="green"/>
            <w:noWrap/>
          </w:tcPr>
          <w:p>
            <w:pPr/>
            <w:r>
              <w:rPr/>
              <w:t xml:space="preserve">3306
</w:t>
            </w:r>
          </w:p>
          <w:p>
            <w:pPr/>
            <w:r>
              <w:rPr/>
              <w:t xml:space="preserve">3. OG
</w:t>
            </w:r>
          </w:p>
          <w:p>
            <w:pPr/>
            <w:r>
              <w:rPr/>
              <w:t xml:space="preserve">Bad
</w:t>
            </w:r>
          </w:p>
        </w:tc>
        <w:tc>
          <w:tcPr>
            <w:shd w:val="clear" w:fill="green"/>
            <w:noWrap/>
          </w:tcPr>
          <w:p>
            <w:pPr/>
            <w:r>
              <w:rPr/>
              <w:t xml:space="preserve">VM-3
</w:t>
            </w:r>
          </w:p>
          <w:p>
            <w:pPr/>
            <w:r>
              <w:rPr/>
              <w:t xml:space="preserve">Trockenbausystem jünger als 1990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VB-3</w:t>
            </w:r>
          </w:p>
        </w:tc>
        <w:tc>
          <w:tcPr>
            <w:shd w:val="clear" w:fill="green"/>
            <w:noWrap/>
          </w:tcPr>
          <w:p>
            <w:pPr/>
            <w:r>
              <w:rPr/>
              <w:t xml:space="preserve">3304
</w:t>
            </w:r>
          </w:p>
          <w:p>
            <w:pPr/>
            <w:r>
              <w:rPr/>
              <w:t xml:space="preserve">3. OG
</w:t>
            </w:r>
          </w:p>
          <w:p>
            <w:pPr/>
            <w:r>
              <w:rPr/>
              <w:t xml:space="preserve">Bad
</w:t>
            </w:r>
          </w:p>
        </w:tc>
        <w:tc>
          <w:tcPr>
            <w:shd w:val="clear" w:fill="green"/>
            <w:noWrap/>
          </w:tcPr>
          <w:p>
            <w:pPr/>
            <w:r>
              <w:rPr/>
              <w:t xml:space="preserve">VM-3
</w:t>
            </w:r>
          </w:p>
          <w:p>
            <w:pPr/>
            <w:r>
              <w:rPr/>
              <w:t xml:space="preserve">Trockenbausystem jünger als 1990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