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Hauptstrasse 45, 9476 Weite,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454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Arthur Bucher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Arthur Bucher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26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aus Map 17 kann durch instruierte Handwerker unter Einhaltung der Richtlinien 33031 rückgebaut werden und ist mit dem LVA Code 17 06 98nk in einer Deponie Typ B zu entsorgen. Es handelt sich um eine Menge von 50 Quadratmetern, die vorschriftsgemäss behandelt werden muss.</w:t>
      </w:r>
      <w:br/>
      <w:r>
        <w:rPr>
          <w:sz w:val="24"/>
          <w:szCs w:val="24"/>
        </w:rPr>
        <w:t xml:space="preserve"/>
      </w:r>
      <w:br/>
      <w:r>
        <w:rPr>
          <w:sz w:val="24"/>
          <w:szCs w:val="24"/>
          <w:b w:val="1"/>
          <w:bCs w:val="1"/>
        </w:rPr>
        <w:t xml:space="preserve"/>
      </w:r>
      <w:r>
        <w:rPr>
          <w:sz w:val="24"/>
          <w:szCs w:val="24"/>
          <w:b w:val="1"/>
          <w:bCs w:val="1"/>
        </w:rPr>
        <w:t xml:space="preserve">Künstliche Mineralfasern</w:t>
      </w:r>
      <w:r>
        <w:rPr>
          <w:sz w:val="24"/>
          <w:szCs w:val="24"/>
        </w:rPr>
        <w:t xml:space="preserve"> aus Probe-ID B678 können durch Schadstoffsanierer bearbeitet werden. Dabei sind die Richtlinien 22108 zu beachten und die Entsorgung erfolgt mit dem LVA Code 12 01 99mk in einer Deponie Typ D.</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Metzgerei
</w:t>
            </w:r>
          </w:p>
          <w:p>
            <w:pPr/>
            <w:r>
              <w:rPr/>
              <w:t xml:space="preserve">EG
</w:t>
            </w:r>
          </w:p>
          <w:p>
            <w:pPr/>
            <w:r>
              <w:rPr/>
              <w:t xml:space="preserve">Decke
</w:t>
            </w:r>
          </w:p>
        </w:tc>
        <w:tc>
          <w:tcPr>
            <w:shd w:val="clear" w:fill="red"/>
            <w:noWrap/>
          </w:tcPr>
          <w:p>
            <w:pPr/>
            <w:r>
              <w:rPr/>
              <w:t xml:space="preserve">VM-1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MaP-4</w:t>
            </w:r>
          </w:p>
        </w:tc>
        <w:tc>
          <w:tcPr>
            <w:shd w:val="clear" w:fill="orange"/>
            <w:noWrap/>
          </w:tcPr>
          <w:p>
            <w:pPr/>
            <w:r>
              <w:rPr/>
              <w:t xml:space="preserve">Gang / Treppenhaus
</w:t>
            </w:r>
          </w:p>
          <w:p>
            <w:pPr/>
            <w:r>
              <w:rPr/>
              <w:t xml:space="preserve">EG-OG
</w:t>
            </w:r>
          </w:p>
          <w:p>
            <w:pPr/>
            <w:r>
              <w:rPr/>
              <w:t xml:space="preserve">Boden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orange"/>
            <w:noWrap/>
          </w:tcPr>
          <w:p>
            <w:pPr/>
            <w:r>
              <w:rPr/>
              <w:t xml:space="preserve">MaP-5</w:t>
            </w:r>
          </w:p>
        </w:tc>
        <w:tc>
          <w:tcPr>
            <w:shd w:val="clear" w:fill="orange"/>
            <w:noWrap/>
          </w:tcPr>
          <w:p>
            <w:pPr/>
            <w:r>
              <w:rPr/>
              <w:t xml:space="preserve">Gang
</w:t>
            </w:r>
          </w:p>
          <w:p>
            <w:pPr/>
            <w:r>
              <w:rPr/>
              <w:t xml:space="preserve">OG
</w:t>
            </w:r>
          </w:p>
          <w:p>
            <w:pPr/>
            <w:r>
              <w:rPr/>
              <w:t xml:space="preserve">Boden
</w:t>
            </w:r>
          </w:p>
        </w:tc>
        <w:tc>
          <w:tcPr>
            <w:shd w:val="clear" w:fill="orange"/>
            <w:noWrap/>
          </w:tcPr>
          <w:p>
            <w:pPr/>
            <w:r>
              <w:rPr/>
              <w:t xml:space="preserve">VM-5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5" o:title=""/>
                </v:shape>
              </w:pict>
              <w:t xml:space="preserve"/>
            </w:r>
          </w:p>
        </w:tc>
        <w:tc>
          <w:tcPr>
            <w:shd w:val="clear" w:fill="orange"/>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Wohnzimner
</w:t>
            </w:r>
          </w:p>
          <w:p>
            <w:pPr/>
            <w:r>
              <w:rPr/>
              <w:t xml:space="preserve">OG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MaP-7</w:t>
            </w:r>
          </w:p>
        </w:tc>
        <w:tc>
          <w:tcPr>
            <w:shd w:val="clear" w:fill="red"/>
            <w:noWrap/>
          </w:tcPr>
          <w:p>
            <w:pPr/>
            <w:r>
              <w:rPr/>
              <w:t xml:space="preserve">Wohnzimner
</w:t>
            </w:r>
          </w:p>
          <w:p>
            <w:pPr/>
            <w:r>
              <w:rPr/>
              <w:t xml:space="preserve">OG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VM-8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VM-10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