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Via Padrusa 7, Domat/Ems,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2044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1989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452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Toni Cavigelli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Toni Cavigelli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29.08.2025 11:09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01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Probe-ID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KMF-Dämmung</w:t>
      </w:r>
      <w:r>
        <w:rPr>
          <w:sz w:val="24"/>
          <w:szCs w:val="24"/>
        </w:rPr>
        <w:t xml:space="preserve"/>
      </w:r>
      <w:br/>
      <w:r>
        <w:rPr>
          <w:sz w:val="24"/>
          <w:szCs w:val="24"/>
        </w:rPr>
        <w:t xml:space="preserve"/>
      </w:r>
      <w:br/>
      <w:r>
        <w:rPr>
          <w:sz w:val="24"/>
          <w:szCs w:val="24"/>
        </w:rPr>
        <w:t xml:space="preserve">KMF-Dämmung aus Probe-ID 18 ist von fachkundigen Personen zu sanieren. Das Material muss laut den Richtlinien 33032 behandelt werden und erhält den LVA-Code 17 06 98nk zur Deponierung in einem B-Typ Standort.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Büros
</w:t>
            </w:r>
          </w:p>
          <w:p>
            <w:pPr/>
            <w:r>
              <w:rPr/>
              <w:t xml:space="preserve">1.OG
</w:t>
            </w:r>
          </w:p>
        </w:tc>
        <w:tc>
          <w:tcPr>
            <w:shd w:val="clear" w:fill="green"/>
            <w:noWrap/>
          </w:tcPr>
          <w:p>
            <w:pPr/>
            <w:r>
              <w:rPr/>
              <w:t xml:space="preserve">VM-1
</w:t>
            </w:r>
          </w:p>
          <w:p>
            <w:pPr/>
            <w:r>
              <w:rPr/>
              <w:t xml:space="preserve">Parkettkleber
</w:t>
            </w:r>
          </w:p>
          <w:p>
            <w:pPr/>
            <w:r>
              <w:rPr/>
              <w:t xml:space="preserve">Bürobiden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 o:title=""/>
                </v:shape>
              </w:pict>
              <w:t xml:space="preserve"/>
            </w:r>
          </w:p>
        </w:tc>
        <w:tc>
          <w:tcPr>
            <w:shd w:val="clear" w:fill="green"/>
            <w:noWrap/>
          </w:tcPr>
          <w:p>
            <w:pPr/>
            <w:r>
              <w:rPr/>
              <w:t xml:space="preserve"/>
              <w:pict>
                <v:shape type="#_x0000_t75" style="width:100px;height:150px" stroked="f" filled="f">
                  <v:imagedata r:id="rId19" o:title=""/>
                </v:shape>
              </w:pict>
              <w:t xml:space="preserve"/>
            </w:r>
          </w:p>
        </w:tc>
      </w:tr>
      <w:tr>
        <w:trPr/>
        <w:tc>
          <w:tcPr>
            <w:shd w:val="clear" w:fill="orange"/>
            <w:noWrap/>
          </w:tcPr>
          <w:p>
            <w:pPr/>
            <w:r>
              <w:rPr/>
              <w:t xml:space="preserve">MaP-2</w:t>
            </w:r>
          </w:p>
        </w:tc>
        <w:tc>
          <w:tcPr>
            <w:shd w:val="clear" w:fill="orange"/>
            <w:noWrap/>
          </w:tcPr>
          <w:p>
            <w:pPr/>
            <w:r>
              <w:rPr/>
              <w:t xml:space="preserve">Gang
</w:t>
            </w:r>
          </w:p>
          <w:p>
            <w:pPr/>
            <w:r>
              <w:rPr/>
              <w:t xml:space="preserve">1.OG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0" o:title=""/>
                </v:shape>
              </w:pict>
              <w:t xml:space="preserve"/>
            </w:r>
          </w:p>
        </w:tc>
        <w:tc>
          <w:tcPr>
            <w:shd w:val="clear" w:fill="orange"/>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Innenwände
</w:t>
            </w:r>
          </w:p>
          <w:p>
            <w:pPr/>
            <w:r>
              <w:rPr/>
              <w:t xml:space="preserve">1.OG
</w:t>
            </w:r>
          </w:p>
        </w:tc>
        <w:tc>
          <w:tcPr>
            <w:shd w:val="clear" w:fill="red"/>
            <w:noWrap/>
          </w:tcPr>
          <w:p>
            <w:pPr/>
            <w:r>
              <w:rPr/>
              <w:t xml:space="preserve">VM-3
</w:t>
            </w:r>
          </w:p>
          <w:p>
            <w:pPr/>
            <w:r>
              <w:rPr/>
              <w:t xml:space="preserve">Verputz
</w:t>
            </w:r>
          </w:p>
          <w:p>
            <w:pPr/>
            <w:r>
              <w:rPr/>
              <w:t xml:space="preserve">Wand
</w:t>
            </w:r>
          </w:p>
          <w:p>
            <w:pPr/>
            <w:r>
              <w:rPr/>
              <w:t xml:space="preserve">weiss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MaP-4</w:t>
            </w:r>
          </w:p>
        </w:tc>
        <w:tc>
          <w:tcPr>
            <w:shd w:val="clear" w:fill="orange"/>
            <w:noWrap/>
          </w:tcPr>
          <w:p>
            <w:pPr/>
            <w:r>
              <w:rPr/>
              <w:t xml:space="preserve">Büros
</w:t>
            </w:r>
          </w:p>
          <w:p>
            <w:pPr/>
            <w:r>
              <w:rPr/>
              <w:t xml:space="preserve">2.OG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