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Override PartName="/word/media/image_rId22_document.jpeg" ContentType="image/jpeg"/>
  <Override PartName="/word/media/image_rId23_document.jpeg" ContentType="image/jpeg"/>
  <Override PartName="/word/media/image_rId24_document.jpeg" ContentType="image/jpeg"/>
  <Override PartName="/word/media/image_rId25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Via Padrusa 7, Domat/Ems, Switzerland</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2044</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1989</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452</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1030 Wohnhaus mit Nebennutzung</w:t>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Toni Cavigelli</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Toni Cavigelli</w:t>
            </w:r>
            <w:bookmarkEnd w:id="12"/>
            <w:r w:rsidRPr="00FF365E">
              <w:rPr>
                <w:sz w:val="24"/>
                <w:szCs w:val="24"/>
                <w:lang w:val="en-GB"/>
              </w:rPr>
              <w:t xml:space="preserve"> </w:t>
            </w:r>
            <w:bookmarkStart w:id="13" w:name="OLE_LINK13"/>
            <w:r w:rsidRPr="00FF365E">
              <w:rPr>
                <w:sz w:val="24"/>
                <w:szCs w:val="24"/>
                <w:lang w:val="en-GB"/>
              </w:rPr>
              <w:t xml:space="preserve"/>
            </w:r>
          </w:p>
        </w:tc>
        <w:tc>
          <w:tcPr>
            <w:tcW w:w="2410" w:type="dxa"/>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29.08.2025 11:09</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Kallen Pascal</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01 September 2025</w:t>
            </w:r>
          </w:p>
        </w:tc>
        <w:tc>
          <w:tcPr>
            <w:tcW w:w="2443" w:type="dxa"/>
          </w:tcPr>
          <w:p w14:paraId="3E034F82"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Kallen Pascal</w:t>
            </w:r>
          </w:p>
        </w:tc>
        <w:tc>
          <w:tcPr>
            <w:tcW w:w="2443" w:type="dxa"/>
          </w:tcPr>
          <w:p w14:paraId="22FD4C48"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p w14:paraId="61919BB4" w14:textId="77777777" w:rsidR="00CE0139" w:rsidRDefault="00165AE8" w:rsidP="0047123B">
      <w:pPr>
        <w:spacing w:line="240" w:lineRule="auto"/>
        <w:rPr>
          <w:rFonts w:eastAsia="Calibri"/>
          <w:sz w:val="24"/>
          <w:szCs w:val="24"/>
        </w:rPr>
      </w:pPr>
      <w:r w:rsidRPr="00165AE8">
        <w:rPr>
          <w:rFonts w:eastAsia="Calibri"/>
          <w:sz w:val="24"/>
          <w:szCs w:val="24"/>
        </w:rPr>
        <w:t>Die Befunde auf dieser Tabelle dürfen ausschliesslich durch SUVA-anerkannte Schadstoffsanierer rückgebaut werden:</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sz w:val="24"/>
          <w:szCs w:val="24"/>
          <w:b w:val="1"/>
          <w:bCs w:val="1"/>
        </w:rPr>
        <w:t xml:space="preserve"/>
      </w:r>
      <w:r>
        <w:rPr>
          <w:sz w:val="24"/>
          <w:szCs w:val="24"/>
          <w:b w:val="1"/>
          <w:bCs w:val="1"/>
        </w:rPr>
        <w:t xml:space="preserve">Faserzement</w:t>
      </w:r>
      <w:r>
        <w:rPr>
          <w:sz w:val="24"/>
          <w:szCs w:val="24"/>
        </w:rPr>
        <w:t xml:space="preserve"/>
      </w:r>
      <w:br/>
      <w:r>
        <w:rPr>
          <w:sz w:val="24"/>
          <w:szCs w:val="24"/>
        </w:rPr>
        <w:t xml:space="preserve"/>
      </w:r>
      <w:br/>
      <w:r>
        <w:rPr>
          <w:sz w:val="24"/>
          <w:szCs w:val="24"/>
        </w:rPr>
        <w:t xml:space="preserve">Faserzement aus Probe-ID 17 kann durch instruierte Handwerker unter Einhaltung der Richtlinien 33031 rückgebaut werden. Es ist mit dem LVA-Code 17 06 98nk in einer Deponie Typ B zu entsorgen.</w:t>
      </w:r>
      <w:br/>
      <w:r>
        <w:rPr>
          <w:sz w:val="24"/>
          <w:szCs w:val="24"/>
        </w:rPr>
        <w:t xml:space="preserve"/>
      </w:r>
      <w:br/>
      <w:r>
        <w:rPr>
          <w:sz w:val="24"/>
          <w:szCs w:val="24"/>
          <w:b w:val="1"/>
          <w:bCs w:val="1"/>
        </w:rPr>
        <w:t xml:space="preserve"/>
      </w:r>
      <w:r>
        <w:rPr>
          <w:sz w:val="24"/>
          <w:szCs w:val="24"/>
          <w:b w:val="1"/>
          <w:bCs w:val="1"/>
        </w:rPr>
        <w:t xml:space="preserve">KMF-Dämmung</w:t>
      </w:r>
      <w:r>
        <w:rPr>
          <w:sz w:val="24"/>
          <w:szCs w:val="24"/>
        </w:rPr>
        <w:t xml:space="preserve"/>
      </w:r>
      <w:br/>
      <w:r>
        <w:rPr>
          <w:sz w:val="24"/>
          <w:szCs w:val="24"/>
        </w:rPr>
        <w:t xml:space="preserve"/>
      </w:r>
      <w:br/>
      <w:r>
        <w:rPr>
          <w:sz w:val="24"/>
          <w:szCs w:val="24"/>
        </w:rPr>
        <w:t xml:space="preserve">KMF-Dämmung aus Probe-ID 18 ist von fachkundigen Personen zu sanieren. Das Material muss laut den Richtlinien 33032 behandelt werden und erhält den LVA-Code 17 06 98nk zur Deponierung in einem B-Typ Standort.</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lastRenderedPageBreak/>
        <w:br/>
      </w:r>
      <w:r w:rsidR="0047123B" w:rsidRPr="00770296">
        <w:rPr>
          <w:sz w:val="24"/>
          <w:szCs w:val="24"/>
          <w:lang w:val="de-CH"/>
        </w:rPr>
        <w:br/>
      </w:r>
      <w:r w:rsidRPr="00770296">
        <w:rPr>
          <w:sz w:val="24"/>
          <w:szCs w:val="24"/>
          <w:lang w:val="de-CH"/>
        </w:rPr>
        <w:t>Kallen Pascal</w:t>
      </w:r>
      <w:r w:rsidR="0047123B" w:rsidRPr="00770296">
        <w:rPr>
          <w:sz w:val="24"/>
          <w:szCs w:val="24"/>
          <w:lang w:val="de-CH"/>
        </w:rPr>
        <w:br/>
      </w:r>
      <w:r w:rsidR="0047123B" w:rsidRPr="00770296">
        <w:rPr>
          <w:sz w:val="24"/>
          <w:szCs w:val="24"/>
          <w:lang w:val="de-CH"/>
        </w:rPr>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green"/>
            <w:noWrap/>
          </w:tcPr>
          <w:p>
            <w:pPr/>
            <w:r>
              <w:rPr/>
              <w:t xml:space="preserve">MaP-1</w:t>
            </w:r>
          </w:p>
        </w:tc>
        <w:tc>
          <w:tcPr>
            <w:shd w:val="clear" w:fill="green"/>
            <w:noWrap/>
          </w:tcPr>
          <w:p>
            <w:pPr/>
            <w:r>
              <w:rPr/>
              <w:t xml:space="preserve">Büros
</w:t>
            </w:r>
          </w:p>
          <w:p>
            <w:pPr/>
            <w:r>
              <w:rPr/>
              <w:t xml:space="preserve">1.OG
</w:t>
            </w:r>
          </w:p>
        </w:tc>
        <w:tc>
          <w:tcPr>
            <w:shd w:val="clear" w:fill="green"/>
            <w:noWrap/>
          </w:tcPr>
          <w:p>
            <w:pPr/>
            <w:r>
              <w:rPr/>
              <w:t xml:space="preserve">VM-1
</w:t>
            </w:r>
          </w:p>
          <w:p>
            <w:pPr/>
            <w:r>
              <w:rPr/>
              <w:t xml:space="preserve">Parkettkleber
</w:t>
            </w:r>
          </w:p>
          <w:p>
            <w:pPr/>
            <w:r>
              <w:rPr/>
              <w:t xml:space="preserve">Bürobiden
</w:t>
            </w:r>
          </w:p>
        </w:tc>
        <w:tc>
          <w:tcPr>
            <w:shd w:val="clear" w:fill="green"/>
            <w:noWrap/>
          </w:tcPr>
          <w:p>
            <w:pPr/>
            <w:r>
              <w:rPr/>
              <w:t xml:space="preserve"/>
            </w:r>
          </w:p>
        </w:tc>
        <w:tc>
          <w:tcPr>
            <w:shd w:val="clear" w:fill="green"/>
            <w:noWrap/>
          </w:tcPr>
          <w:p>
            <w:pPr/>
            <w:r>
              <w:rPr/>
              <w:t xml:space="preserve"/>
              <w:pict>
                <v:shape type="#_x0000_t75" style="width:100px;height:150px" stroked="f" filled="f">
                  <v:imagedata r:id="rId18" o:title=""/>
                </v:shape>
              </w:pict>
              <w:t xml:space="preserve"/>
            </w:r>
          </w:p>
        </w:tc>
        <w:tc>
          <w:tcPr>
            <w:shd w:val="clear" w:fill="green"/>
            <w:noWrap/>
          </w:tcPr>
          <w:p>
            <w:pPr/>
            <w:r>
              <w:rPr/>
              <w:t xml:space="preserve"/>
              <w:pict>
                <v:shape type="#_x0000_t75" style="width:100px;height:150px" stroked="f" filled="f">
                  <v:imagedata r:id="rId19" o:title=""/>
                </v:shape>
              </w:pict>
              <w:t xml:space="preserve"/>
            </w:r>
          </w:p>
        </w:tc>
      </w:tr>
      <w:tr>
        <w:trPr/>
        <w:tc>
          <w:tcPr>
            <w:shd w:val="clear" w:fill="orange"/>
            <w:noWrap/>
          </w:tcPr>
          <w:p>
            <w:pPr/>
            <w:r>
              <w:rPr/>
              <w:t xml:space="preserve">MaP-2</w:t>
            </w:r>
          </w:p>
        </w:tc>
        <w:tc>
          <w:tcPr>
            <w:shd w:val="clear" w:fill="orange"/>
            <w:noWrap/>
          </w:tcPr>
          <w:p>
            <w:pPr/>
            <w:r>
              <w:rPr/>
              <w:t xml:space="preserve">Gang
</w:t>
            </w:r>
          </w:p>
          <w:p>
            <w:pPr/>
            <w:r>
              <w:rPr/>
              <w:t xml:space="preserve">1.OG
</w:t>
            </w:r>
          </w:p>
        </w:tc>
        <w:tc>
          <w:tcPr>
            <w:shd w:val="clear" w:fill="orange"/>
            <w:noWrap/>
          </w:tcPr>
          <w:p>
            <w:pPr/>
            <w:r>
              <w:rPr/>
              <w:t xml:space="preserve">VM-2
</w:t>
            </w:r>
          </w:p>
          <w:p>
            <w:pPr/>
            <w:r>
              <w:rPr/>
              <w:t xml:space="preserve">(elastische) Bodenbeläge
</w:t>
            </w:r>
          </w:p>
          <w:p>
            <w:pPr/>
            <w:r>
              <w:rPr/>
              <w:t xml:space="preserve">Boden
</w:t>
            </w:r>
          </w:p>
        </w:tc>
        <w:tc>
          <w:tcPr>
            <w:shd w:val="clear" w:fill="orange"/>
            <w:noWrap/>
          </w:tcPr>
          <w:p>
            <w:pPr/>
            <w:r>
              <w:rPr/>
              <w:t xml:space="preserve"/>
            </w:r>
          </w:p>
        </w:tc>
        <w:tc>
          <w:tcPr>
            <w:shd w:val="clear" w:fill="orange"/>
            <w:noWrap/>
          </w:tcPr>
          <w:p>
            <w:pPr/>
            <w:r>
              <w:rPr/>
              <w:t xml:space="preserve"/>
              <w:pict>
                <v:shape type="#_x0000_t75" style="width:100px;height:150px" stroked="f" filled="f">
                  <v:imagedata r:id="rId20" o:title=""/>
                </v:shape>
              </w:pict>
              <w:t xml:space="preserve"/>
            </w:r>
          </w:p>
        </w:tc>
        <w:tc>
          <w:tcPr>
            <w:shd w:val="clear" w:fill="orange"/>
            <w:noWrap/>
          </w:tcPr>
          <w:p>
            <w:pPr/>
            <w:r>
              <w:rPr/>
              <w:t xml:space="preserve"/>
              <w:pict>
                <v:shape type="#_x0000_t75" style="width:100px;height:150px" stroked="f" filled="f">
                  <v:imagedata r:id="rId21" o:title=""/>
                </v:shape>
              </w:pict>
              <w:t xml:space="preserve"/>
            </w:r>
          </w:p>
        </w:tc>
      </w:tr>
      <w:tr>
        <w:trPr/>
        <w:tc>
          <w:tcPr>
            <w:shd w:val="clear" w:fill="red"/>
            <w:noWrap/>
          </w:tcPr>
          <w:p>
            <w:pPr/>
            <w:r>
              <w:rPr/>
              <w:t xml:space="preserve">MaP-3</w:t>
            </w:r>
          </w:p>
        </w:tc>
        <w:tc>
          <w:tcPr>
            <w:shd w:val="clear" w:fill="red"/>
            <w:noWrap/>
          </w:tcPr>
          <w:p>
            <w:pPr/>
            <w:r>
              <w:rPr/>
              <w:t xml:space="preserve">Innenwände
</w:t>
            </w:r>
          </w:p>
          <w:p>
            <w:pPr/>
            <w:r>
              <w:rPr/>
              <w:t xml:space="preserve">1.OG
</w:t>
            </w:r>
          </w:p>
        </w:tc>
        <w:tc>
          <w:tcPr>
            <w:shd w:val="clear" w:fill="red"/>
            <w:noWrap/>
          </w:tcPr>
          <w:p>
            <w:pPr/>
            <w:r>
              <w:rPr/>
              <w:t xml:space="preserve">VM-3
</w:t>
            </w:r>
          </w:p>
          <w:p>
            <w:pPr/>
            <w:r>
              <w:rPr/>
              <w:t xml:space="preserve">Verputz
</w:t>
            </w:r>
          </w:p>
          <w:p>
            <w:pPr/>
            <w:r>
              <w:rPr/>
              <w:t xml:space="preserve">Wand
</w:t>
            </w:r>
          </w:p>
          <w:p>
            <w:pPr/>
            <w:r>
              <w:rPr/>
              <w:t xml:space="preserve">weiss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2" o:title=""/>
                </v:shape>
              </w:pict>
              <w:t xml:space="preserve"/>
            </w:r>
          </w:p>
        </w:tc>
        <w:tc>
          <w:tcPr>
            <w:shd w:val="clear" w:fill="red"/>
            <w:noWrap/>
          </w:tcPr>
          <w:p>
            <w:pPr/>
            <w:r>
              <w:rPr/>
              <w:t xml:space="preserve"/>
              <w:pict>
                <v:shape type="#_x0000_t75" style="width:100px;height:150px" stroked="f" filled="f">
                  <v:imagedata r:id="rId23" o:title=""/>
                </v:shape>
              </w:pict>
              <w:t xml:space="preserve"/>
            </w:r>
          </w:p>
        </w:tc>
      </w:tr>
      <w:tr>
        <w:trPr/>
        <w:tc>
          <w:tcPr>
            <w:shd w:val="clear" w:fill="orange"/>
            <w:noWrap/>
          </w:tcPr>
          <w:p>
            <w:pPr/>
            <w:r>
              <w:rPr/>
              <w:t xml:space="preserve">MaP-4</w:t>
            </w:r>
          </w:p>
        </w:tc>
        <w:tc>
          <w:tcPr>
            <w:shd w:val="clear" w:fill="orange"/>
            <w:noWrap/>
          </w:tcPr>
          <w:p>
            <w:pPr/>
            <w:r>
              <w:rPr/>
              <w:t xml:space="preserve">Büros
</w:t>
            </w:r>
          </w:p>
          <w:p>
            <w:pPr/>
            <w:r>
              <w:rPr/>
              <w:t xml:space="preserve">2.OG
</w:t>
            </w:r>
          </w:p>
        </w:tc>
        <w:tc>
          <w:tcPr>
            <w:shd w:val="clear" w:fill="orange"/>
            <w:noWrap/>
          </w:tcPr>
          <w:p>
            <w:pPr/>
            <w:r>
              <w:rPr/>
              <w:t xml:space="preserve">VM-2
</w:t>
            </w:r>
          </w:p>
          <w:p>
            <w:pPr/>
            <w:r>
              <w:rPr/>
              <w:t xml:space="preserve">(elastische) Bodenbeläge
</w:t>
            </w:r>
          </w:p>
          <w:p>
            <w:pPr/>
            <w:r>
              <w:rPr/>
              <w:t xml:space="preserve">Boden
</w:t>
            </w:r>
          </w:p>
        </w:tc>
        <w:tc>
          <w:tcPr>
            <w:shd w:val="clear" w:fill="orange"/>
            <w:noWrap/>
          </w:tcPr>
          <w:p>
            <w:pPr/>
            <w:r>
              <w:rPr/>
              <w:t xml:space="preserve"/>
            </w:r>
          </w:p>
        </w:tc>
        <w:tc>
          <w:tcPr>
            <w:shd w:val="clear" w:fill="orange"/>
            <w:noWrap/>
          </w:tcPr>
          <w:p>
            <w:pPr/>
            <w:r>
              <w:rPr/>
              <w:t xml:space="preserve"/>
              <w:pict>
                <v:shape type="#_x0000_t75" style="width:100px;height:150px" stroked="f" filled="f">
                  <v:imagedata r:id="rId24" o:title=""/>
                </v:shape>
              </w:pict>
              <w:t xml:space="preserve"/>
            </w:r>
          </w:p>
        </w:tc>
        <w:tc>
          <w:tcPr>
            <w:shd w:val="clear" w:fill="orange"/>
            <w:noWrap/>
          </w:tcPr>
          <w:p>
            <w:pPr/>
            <w:r>
              <w:rPr/>
              <w:t xml:space="preserve"/>
              <w:pict>
                <v:shape type="#_x0000_t75" style="width:100px;height:150px" stroked="f" filled="f">
                  <v:imagedata r:id="rId25"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pict>
          <v:shape type="#_x0000_t75" style="width:706.65083135392px;height:1000px" stroked="f" filled="f">
            <v:imagedata r:id="rId17" o:title=""/>
          </v:shape>
        </w:pict>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4D28" w14:textId="77777777" w:rsidR="00647C0A" w:rsidRDefault="00647C0A">
      <w:pPr>
        <w:spacing w:line="240" w:lineRule="auto"/>
      </w:pPr>
      <w:r>
        <w:separator/>
      </w:r>
    </w:p>
  </w:endnote>
  <w:endnote w:type="continuationSeparator" w:id="0">
    <w:p w14:paraId="7A6B585A" w14:textId="77777777" w:rsidR="00647C0A" w:rsidRDefault="00647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BAD7" w14:textId="77777777" w:rsidR="00647C0A" w:rsidRDefault="00647C0A">
      <w:pPr>
        <w:spacing w:line="240" w:lineRule="auto"/>
      </w:pPr>
      <w:r>
        <w:separator/>
      </w:r>
    </w:p>
  </w:footnote>
  <w:footnote w:type="continuationSeparator" w:id="0">
    <w:p w14:paraId="6B6E9839" w14:textId="77777777" w:rsidR="00647C0A" w:rsidRDefault="00647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F3F84"/>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408B2"/>
    <w:rsid w:val="00CE0139"/>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 Id="rId22" Type="http://schemas.openxmlformats.org/officeDocument/2006/relationships/image" Target="media/image_rId22_document.jpeg"/><Relationship Id="rId23" Type="http://schemas.openxmlformats.org/officeDocument/2006/relationships/image" Target="media/image_rId23_document.jpeg"/><Relationship Id="rId24" Type="http://schemas.openxmlformats.org/officeDocument/2006/relationships/image" Target="media/image_rId24_document.jpeg"/><Relationship Id="rId25" Type="http://schemas.openxmlformats.org/officeDocument/2006/relationships/image" Target="media/image_rId25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1163</Words>
  <Characters>6632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8</cp:revision>
  <dcterms:created xsi:type="dcterms:W3CDTF">2025-04-23T10:39:00Z</dcterms:created>
  <dcterms:modified xsi:type="dcterms:W3CDTF">2025-08-13T10:27:00Z</dcterms:modified>
</cp:coreProperties>
</file>