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Multergasse 47, St. Gallen,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451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Patrice Matter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Patrice Matter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20 August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Probe-ID 1; Material: KMF</w:t>
      </w:r>
      <w:r>
        <w:rPr>
          <w:sz w:val="24"/>
          <w:szCs w:val="24"/>
        </w:rPr>
        <w:t xml:space="preserve">  </w:t>
      </w:r>
      <w:br/>
      <w:r>
        <w:rPr>
          <w:sz w:val="24"/>
          <w:szCs w:val="24"/>
        </w:rPr>
        <w:t xml:space="preserve">Die KMF aus Map 08 ist in einer Menge von 2 m³ vorhanden und muss durch Schadstoffsanierer nach den Richtlinien 6502 rückgebaut werden. Die Entsorgung erfolgt als gefährlicher Abfall mit dem LVA-Code 17 06 03.</w:t>
      </w:r>
      <w:br/>
      <w:r>
        <w:rPr>
          <w:sz w:val="24"/>
          <w:szCs w:val="24"/>
        </w:rPr>
        <w:t xml:space="preserve"/>
      </w:r>
      <w:br/>
      <w:r>
        <w:rPr>
          <w:sz w:val="24"/>
          <w:szCs w:val="24"/>
          <w:b w:val="1"/>
          <w:bCs w:val="1"/>
        </w:rPr>
        <w:t xml:space="preserve"/>
      </w:r>
      <w:r>
        <w:rPr>
          <w:sz w:val="24"/>
          <w:szCs w:val="24"/>
          <w:b w:val="1"/>
          <w:bCs w:val="1"/>
        </w:rPr>
        <w:t xml:space="preserve">Probe-ID 2; Material: Asbesthaltige Verkleidung</w:t>
      </w:r>
      <w:r>
        <w:rPr>
          <w:sz w:val="24"/>
          <w:szCs w:val="24"/>
        </w:rPr>
        <w:t xml:space="preserve">  </w:t>
      </w:r>
      <w:br/>
      <w:r>
        <w:rPr>
          <w:sz w:val="24"/>
          <w:szCs w:val="24"/>
        </w:rPr>
        <w:t xml:space="preserve">Dieses Material aus Map 09 umfasst 5 m² und erfordert ebenfalls eine Sanierung durch Schadstoffsanierer, gemäss den Richtlinien 6502. Der LVA-Code für die Entsorgung ist 17 06 05.</w:t>
      </w:r>
      <w:br/>
      <w:r>
        <w:rPr>
          <w:sz w:val="24"/>
          <w:szCs w:val="24"/>
        </w:rPr>
        <w:t xml:space="preserve"/>
      </w:r>
      <w:br/>
      <w:r>
        <w:rPr>
          <w:sz w:val="24"/>
          <w:szCs w:val="24"/>
          <w:b w:val="1"/>
          <w:bCs w:val="1"/>
        </w:rPr>
        <w:t xml:space="preserve"/>
      </w:r>
      <w:r>
        <w:rPr>
          <w:sz w:val="24"/>
          <w:szCs w:val="24"/>
          <w:b w:val="1"/>
          <w:bCs w:val="1"/>
        </w:rPr>
        <w:t xml:space="preserve">Probe-ID 3; Material: PCB-haltige Fugenmasse</w:t>
      </w:r>
      <w:r>
        <w:rPr>
          <w:sz w:val="24"/>
          <w:szCs w:val="24"/>
        </w:rPr>
        <w:t xml:space="preserve">  </w:t>
      </w:r>
      <w:br/>
      <w:r>
        <w:rPr>
          <w:sz w:val="24"/>
          <w:szCs w:val="24"/>
        </w:rPr>
        <w:t xml:space="preserve">Die PCB-haltige Fugenmasse in Map 10 befindet sich auf einer Länge von 10 m und unterliegt den Richtlinien 6503. Die Entsorgung ist als gefährlicher Abfall mit dem LVA-Code 17 06 09 zu handhaben und muss durch Schadstoffsanierer erfolgen.</w:t>
      </w:r>
      <w:br/>
      <w:r>
        <w:rPr>
          <w:sz w:val="24"/>
          <w:szCs w:val="24"/>
        </w:rPr>
        <w:t xml:space="preserve"/>
      </w:r>
      <w:br/>
      <w:r>
        <w:rPr>
          <w:sz w:val="24"/>
          <w:szCs w:val="24"/>
          <w:b w:val="1"/>
          <w:bCs w:val="1"/>
        </w:rPr>
        <w:t xml:space="preserve"/>
      </w:r>
      <w:r>
        <w:rPr>
          <w:sz w:val="24"/>
          <w:szCs w:val="24"/>
          <w:b w:val="1"/>
          <w:bCs w:val="1"/>
        </w:rPr>
        <w:t xml:space="preserve">Probe-ID 4; Material: Faserzement</w:t>
      </w:r>
      <w:r>
        <w:rPr>
          <w:sz w:val="24"/>
          <w:szCs w:val="24"/>
        </w:rPr>
        <w:t xml:space="preserve">  </w:t>
      </w:r>
      <w:br/>
      <w:r>
        <w:rPr>
          <w:sz w:val="24"/>
          <w:szCs w:val="24"/>
        </w:rPr>
        <w:t xml:space="preserve">Faserzement aus Map 17 kann unter Einhaltung der Richtlinien 33031 durch instruierte Handwerker rückgebaut werden. Dieses Material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Probe-ID 5; Material: Holz mit Holzschutzmittel</w:t>
      </w:r>
      <w:r>
        <w:rPr>
          <w:sz w:val="24"/>
          <w:szCs w:val="24"/>
        </w:rPr>
        <w:t xml:space="preserve">  </w:t>
      </w:r>
      <w:br/>
      <w:r>
        <w:rPr>
          <w:sz w:val="24"/>
          <w:szCs w:val="24"/>
        </w:rPr>
        <w:t xml:space="preserve">Das behandelte Holz in Map 18 wird in einer Menge von 1 m³ durch instruierte Handwerker entfernt unter Berücksichtigung der Richtlinien 33031. Die korrekte Entsorgung erfolgt über den LVA-Code 17 02 04NK.</w:t>
      </w:r>
      <w:br/>
      <w:r>
        <w:rPr>
          <w:sz w:val="24"/>
          <w:szCs w:val="24"/>
        </w:rPr>
        <w:t xml:space="preserve"/>
      </w:r>
      <w:br/>
      <w:r>
        <w:rPr>
          <w:sz w:val="24"/>
          <w:szCs w:val="24"/>
          <w:b w:val="1"/>
          <w:bCs w:val="1"/>
        </w:rPr>
        <w:t xml:space="preserve"/>
      </w:r>
      <w:r>
        <w:rPr>
          <w:sz w:val="24"/>
          <w:szCs w:val="24"/>
          <w:b w:val="1"/>
          <w:bCs w:val="1"/>
        </w:rPr>
        <w:t xml:space="preserve">Probe-ID 6; Material: Teerhaltiges Material</w:t>
      </w:r>
      <w:r>
        <w:rPr>
          <w:sz w:val="24"/>
          <w:szCs w:val="24"/>
        </w:rPr>
        <w:t xml:space="preserve">  </w:t>
      </w:r>
      <w:br/>
      <w:r>
        <w:rPr>
          <w:sz w:val="24"/>
          <w:szCs w:val="24"/>
        </w:rPr>
        <w:t xml:space="preserve">In Map 19 ist eine Menge von 10 m² Teerhaltiges Material vorhanden, das nach den Richtlinien 33031 durch instruierte Handwerker abgetragen wird. Der LVA-Code zur Entsorgung ist 17 03 01NK.</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Laden vorne
</w:t>
            </w:r>
          </w:p>
          <w:p>
            <w:pPr/>
            <w:r>
              <w:rPr/>
              <w:t xml:space="preserve">EG
</w:t>
            </w:r>
          </w:p>
          <w:p>
            <w:pPr/>
            <w:r>
              <w:rPr/>
              <w:t xml:space="preserve">Boden
</w:t>
            </w:r>
          </w:p>
        </w:tc>
        <w:tc>
          <w:tcPr>
            <w:shd w:val="clear" w:fill="red"/>
            <w:noWrap/>
          </w:tcPr>
          <w:p>
            <w:pPr/>
            <w:r>
              <w:rPr/>
              <w:t xml:space="preserve">VM-1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Laden hinten
</w:t>
            </w:r>
          </w:p>
          <w:p>
            <w:pPr/>
            <w:r>
              <w:rPr/>
              <w:t xml:space="preserve">EG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Laden
</w:t>
            </w:r>
          </w:p>
          <w:p>
            <w:pPr/>
            <w:r>
              <w:rPr/>
              <w:t xml:space="preserve">3.OG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orange"/>
            <w:noWrap/>
          </w:tcPr>
          <w:p>
            <w:pPr/>
            <w:r>
              <w:rPr/>
              <w:t xml:space="preserve">MaP-4</w:t>
            </w:r>
          </w:p>
        </w:tc>
        <w:tc>
          <w:tcPr>
            <w:shd w:val="clear" w:fill="orange"/>
            <w:noWrap/>
          </w:tcPr>
          <w:p>
            <w:pPr/>
            <w:r>
              <w:rPr/>
              <w:t xml:space="preserve">Küche
</w:t>
            </w:r>
          </w:p>
          <w:p>
            <w:pPr/>
            <w:r>
              <w:rPr/>
              <w:t xml:space="preserve">4. OG
</w:t>
            </w:r>
          </w:p>
          <w:p>
            <w:pPr/>
            <w:r>
              <w:rPr/>
              <w:t xml:space="preserve">Boden
</w:t>
            </w:r>
          </w:p>
        </w:tc>
        <w:tc>
          <w:tcPr>
            <w:shd w:val="clear" w:fill="orange"/>
            <w:noWrap/>
          </w:tcPr>
          <w:p>
            <w:pPr/>
            <w:r>
              <w:rPr/>
              <w:t xml:space="preserve">VM-4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3" o:title=""/>
                </v:shape>
              </w:pict>
              <w:t xml:space="preserve"/>
            </w:r>
          </w:p>
        </w:tc>
        <w:tc>
          <w:tcPr>
            <w:shd w:val="clear" w:fill="orange"/>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MaP-5</w:t>
            </w:r>
          </w:p>
        </w:tc>
        <w:tc>
          <w:tcPr>
            <w:shd w:val="clear" w:fill="red"/>
            <w:noWrap/>
          </w:tcPr>
          <w:p>
            <w:pPr/>
            <w:r>
              <w:rPr/>
              <w:t xml:space="preserve">Garderobe
</w:t>
            </w:r>
          </w:p>
          <w:p>
            <w:pPr/>
            <w:r>
              <w:rPr/>
              <w:t xml:space="preserve">UG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