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Bannholzweg 4, Malans,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449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Lea Hitz Lea</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Lea Hitz Lea</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23 August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aus Map 17 kann durch instruierte Handwerker unter Einhaltung der Richtlinien 33031 rückgebaut werden und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Putz</w:t>
      </w:r>
      <w:r>
        <w:rPr>
          <w:sz w:val="24"/>
          <w:szCs w:val="24"/>
        </w:rPr>
        <w:t xml:space="preserve"> aus Map 18 ist, gemäss Richtlinie 3303B, von Schadstoffsanierern zu entfernen. Die Entsorgung erfolgt mit dem LVA-Code 17 09 03z in Deponie Typ B.</w:t>
      </w:r>
      <w:br/>
      <w:r>
        <w:rPr>
          <w:sz w:val="24"/>
          <w:szCs w:val="24"/>
        </w:rPr>
        <w:t xml:space="preserve"/>
      </w:r>
      <w:br/>
      <w:r>
        <w:rPr>
          <w:sz w:val="24"/>
          <w:szCs w:val="24"/>
          <w:b w:val="1"/>
          <w:bCs w:val="1"/>
        </w:rPr>
        <w:t xml:space="preserve"/>
      </w:r>
      <w:r>
        <w:rPr>
          <w:sz w:val="24"/>
          <w:szCs w:val="24"/>
          <w:b w:val="1"/>
          <w:bCs w:val="1"/>
        </w:rPr>
        <w:t xml:space="preserve">Bitumen-Material</w:t>
      </w:r>
      <w:r>
        <w:rPr>
          <w:sz w:val="24"/>
          <w:szCs w:val="24"/>
        </w:rPr>
        <w:t xml:space="preserve"> aus Map 19, das keine spezifische Richtlinie benötigt, ist in einer Deponie Typ E unter der Klassifizierung LVA-Code 17 03 02x zu deponieren, ausgeführt durch instruierte Handwerker.</w:t>
      </w:r>
      <w:br/>
      <w:r>
        <w:rPr>
          <w:sz w:val="24"/>
          <w:szCs w:val="24"/>
        </w:rPr>
        <w:t xml:space="preserve"/>
      </w:r>
      <w:br/>
      <w:r>
        <w:rPr>
          <w:sz w:val="24"/>
          <w:szCs w:val="24"/>
          <w:b w:val="1"/>
          <w:bCs w:val="1"/>
        </w:rPr>
        <w:t xml:space="preserve"/>
      </w:r>
      <w:r>
        <w:rPr>
          <w:sz w:val="24"/>
          <w:szCs w:val="24"/>
          <w:b w:val="1"/>
          <w:bCs w:val="1"/>
        </w:rPr>
        <w:t xml:space="preserve">Gipskarton</w:t>
      </w:r>
      <w:r>
        <w:rPr>
          <w:sz w:val="24"/>
          <w:szCs w:val="24"/>
        </w:rPr>
        <w:t xml:space="preserve"> aus Map 20 erfordert die Einhaltung der Richtlinien 9314 und wird von Schadstoffsanierern entsorgt. Das Material ist mit dem LVA-Code 17 08 02y in einer Deponie Typ D zu klassifizieren.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EG
</w:t>
            </w:r>
          </w:p>
          <w:p>
            <w:pPr/>
            <w:r>
              <w:rPr/>
              <w:t xml:space="preserve">2.Lage
</w:t>
            </w:r>
          </w:p>
        </w:tc>
        <w:tc>
          <w:tcPr>
            <w:shd w:val="clear" w:fill="red"/>
            <w:noWrap/>
          </w:tcPr>
          <w:p>
            <w:pPr/>
            <w:r>
              <w:rPr/>
              <w:t xml:space="preserve">VM-1
</w:t>
            </w:r>
          </w:p>
          <w:p>
            <w:pPr/>
            <w:r>
              <w:rPr/>
              <w:t xml:space="preserve">Fliesenkleber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Bad
</w:t>
            </w:r>
          </w:p>
          <w:p>
            <w:pPr/>
            <w:r>
              <w:rPr/>
              <w:t xml:space="preserve">EG
</w:t>
            </w:r>
          </w:p>
        </w:tc>
        <w:tc>
          <w:tcPr>
            <w:shd w:val="clear" w:fill="red"/>
            <w:noWrap/>
          </w:tcPr>
          <w:p>
            <w:pPr/>
            <w:r>
              <w:rPr/>
              <w:t xml:space="preserve">VM-2
</w:t>
            </w:r>
          </w:p>
          <w:p>
            <w:pPr/>
            <w:r>
              <w:rPr/>
              <w:t xml:space="preserve">Fliesenkleber
</w:t>
            </w:r>
          </w:p>
          <w:p>
            <w:pPr/>
            <w:r>
              <w:rPr/>
              <w:t xml:space="preserve">Boden 2.Lage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EG
</w:t>
            </w:r>
          </w:p>
        </w:tc>
        <w:tc>
          <w:tcPr>
            <w:shd w:val="clear" w:fill="red"/>
            <w:noWrap/>
          </w:tcPr>
          <w:p>
            <w:pPr/>
            <w:r>
              <w:rPr/>
              <w:t xml:space="preserve">VM-3
</w:t>
            </w:r>
          </w:p>
          <w:p>
            <w:pPr/>
            <w:r>
              <w:rPr/>
              <w:t xml:space="preserve">Verputz
</w:t>
            </w:r>
          </w:p>
          <w:p>
            <w:pPr/>
            <w:r>
              <w:rPr/>
              <w:t xml:space="preserve">Wand
</w:t>
            </w:r>
          </w:p>
          <w:p>
            <w:pPr/>
            <w:r>
              <w:rPr/>
              <w:t xml:space="preserve">weiss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