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425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Angelika Grütter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Angelika Grütter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MaP-3</w:t>
            </w:r>
          </w:p>
        </w:tc>
        <w:tc>
          <w:tcPr>
            <w:noWrap/>
          </w:tcPr>
          <w:p>
            <w:pPr/>
            <w:r>
              <w:rPr/>
              <w:t xml:space="preserve">ganzes Haus
</w:t>
            </w:r>
          </w:p>
          <w:p>
            <w:pPr/>
            <w:r>
              <w:rPr/>
              <w:t xml:space="preserve">UG-OG
</w:t>
            </w:r>
          </w:p>
        </w:tc>
        <w:tc>
          <w:tcPr>
            <w:noWrap/>
          </w:tcPr>
          <w:p>
            <w:pPr/>
            <w:r>
              <w:rPr/>
              <w:t xml:space="preserve">alle 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Küche
</w:t>
            </w:r>
          </w:p>
          <w:p>
            <w:pPr/>
            <w:r>
              <w:rPr/>
              <w:t xml:space="preserve">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Bad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Küche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Küche
</w:t>
            </w:r>
          </w:p>
          <w:p>
            <w:pPr/>
            <w:r>
              <w:rPr/>
              <w:t xml:space="preserve">EG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VB-2</w:t>
            </w:r>
          </w:p>
        </w:tc>
        <w:tc>
          <w:tcPr>
            <w:noWrap/>
          </w:tcPr>
          <w:p>
            <w:pPr/>
            <w:r>
              <w:rPr/>
              <w:t xml:space="preserve">Cheminée
</w:t>
            </w:r>
          </w:p>
          <w:p>
            <w:pPr/>
            <w:r>
              <w:rPr/>
              <w:t xml:space="preserve">OG
</w:t>
            </w:r>
          </w:p>
        </w:tc>
        <w:tc>
          <w:tcPr>
            <w:noWrap/>
          </w:tcPr>
          <w:p>
            <w:pPr/>
            <w:r>
              <w:rPr/>
              <w:t xml:space="preserve">im inneren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alle Heizkörper
</w:t>
            </w:r>
          </w:p>
          <w:p>
            <w:pPr/>
            <w:r>
              <w:rPr/>
              <w:t xml:space="preserve">EG und OG
</w:t>
            </w:r>
          </w:p>
        </w:tc>
        <w:tc>
          <w:tcPr>
            <w:noWrap/>
          </w:tcPr>
          <w:p>
            <w:pPr/>
            <w:r>
              <w:rPr/>
              <w:t xml:space="preserve">im inneren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VB-4</w:t>
            </w:r>
          </w:p>
        </w:tc>
        <w:tc>
          <w:tcPr>
            <w:noWrap/>
          </w:tcPr>
          <w:p>
            <w:pPr/>
            <w:r>
              <w:rPr/>
              <w:t xml:space="preserve">Küche
</w:t>
            </w:r>
          </w:p>
          <w:p>
            <w:pPr/>
            <w:r>
              <w:rPr/>
              <w:t xml:space="preserve">EG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VB-5</w:t>
            </w:r>
          </w:p>
        </w:tc>
        <w:tc>
          <w:tcPr>
            <w:noWrap/>
          </w:tcPr>
          <w:p>
            <w:pPr/>
            <w:r>
              <w:rPr/>
              <w:t xml:space="preserve">Wohnzimmer
</w:t>
            </w:r>
          </w:p>
          <w:p>
            <w:pPr/>
            <w:r>
              <w:rPr/>
              <w:t xml:space="preserve">EG
</w:t>
            </w:r>
          </w:p>
        </w:tc>
        <w:tc>
          <w:tcPr>
            <w:noWrap/>
          </w:tcPr>
          <w:p>
            <w:pPr/>
            <w:r>
              <w:rPr/>
              <w:t xml:space="preserve">im inneren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VB-6</w:t>
            </w:r>
          </w:p>
        </w:tc>
        <w:tc>
          <w:tcPr>
            <w:noWrap/>
          </w:tcPr>
          <w:p>
            <w:pPr/>
            <w:r>
              <w:rPr/>
              <w:t xml:space="preserve">Eingang
</w:t>
            </w:r>
          </w:p>
          <w:p>
            <w:pPr/>
            <w:r>
              <w:rPr/>
              <w:t xml:space="preserve">EG
</w:t>
            </w:r>
          </w:p>
        </w:tc>
        <w:tc>
          <w:tcPr>
            <w:noWrap/>
          </w:tcPr>
          <w:p>
            <w:pPr/>
            <w:r>
              <w:rPr/>
              <w:t xml:space="preserve">Elektrotableau</w:t>
            </w:r>
          </w:p>
        </w:tc>
        <w:tc>
          <w:tcPr>
            <w:noWrap/>
          </w:tcPr>
          <w:p>
            <w:pPr/>
            <w:r>
              <w:rPr/>
              <w:t xml:space="preserve">Faserzement / 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VB-4</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MaP-3</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MaP-3 Fensterkitt</w:t>
      </w:r>
      <w:r>
        <w:rPr>
          <w:sz w:val="24"/>
          <w:szCs w:val="24"/>
        </w:rPr>
        <w:t xml:space="preserve">  </w:t>
      </w:r>
      <w:br/>
      <w:r>
        <w:rPr>
          <w:sz w:val="24"/>
          <w:szCs w:val="24"/>
        </w:rPr>
        <w:t xml:space="preserve">Fensterkitt aus Map 3 ist durch instruierte Handwerker gemäss den Richtlinien 33039 - 33044 zu entfernen. Die Entsorgung erfolgt mit dem LVA Code 17 06 98.</w:t>
      </w:r>
      <w:br/>
      <w:r>
        <w:rPr>
          <w:sz w:val="24"/>
          <w:szCs w:val="24"/>
        </w:rPr>
        <w:t xml:space="preserve"/>
      </w:r>
      <w:br/>
      <w:r>
        <w:rPr>
          <w:sz w:val="24"/>
          <w:szCs w:val="24"/>
          <w:b w:val="1"/>
          <w:bCs w:val="1"/>
        </w:rPr>
        <w:t xml:space="preserve"/>
      </w:r>
      <w:r>
        <w:rPr>
          <w:sz w:val="24"/>
          <w:szCs w:val="24"/>
          <w:b w:val="1"/>
          <w:bCs w:val="1"/>
        </w:rPr>
        <w:t xml:space="preserve">MaP-5 Fliesenkleber</w:t>
      </w:r>
      <w:r>
        <w:rPr>
          <w:sz w:val="24"/>
          <w:szCs w:val="24"/>
        </w:rPr>
        <w:t xml:space="preserve">  </w:t>
      </w:r>
      <w:br/>
      <w:r>
        <w:rPr>
          <w:sz w:val="24"/>
          <w:szCs w:val="24"/>
        </w:rPr>
        <w:t xml:space="preserve">Der Fliesenkleber aus Map 5 muss von einem Schadstoffsanierer laut den Vorgaben von EKAS 6503 Kapitel 7 saniert werden. Er wird mit dem LVA Code 17 06 05 S entsorgt.</w:t>
      </w:r>
      <w:br/>
      <w:r>
        <w:rPr>
          <w:sz w:val="24"/>
          <w:szCs w:val="24"/>
        </w:rPr>
        <w:t xml:space="preserve"/>
      </w:r>
      <w:br/>
      <w:r>
        <w:rPr>
          <w:sz w:val="24"/>
          <w:szCs w:val="24"/>
          <w:b w:val="1"/>
          <w:bCs w:val="1"/>
        </w:rPr>
        <w:t xml:space="preserve"/>
      </w:r>
      <w:r>
        <w:rPr>
          <w:sz w:val="24"/>
          <w:szCs w:val="24"/>
          <w:b w:val="1"/>
          <w:bCs w:val="1"/>
        </w:rPr>
        <w:t xml:space="preserve">MaP-7 Fliesenkleber</w:t>
      </w:r>
      <w:r>
        <w:rPr>
          <w:sz w:val="24"/>
          <w:szCs w:val="24"/>
        </w:rPr>
        <w:t xml:space="preserve">  </w:t>
      </w:r>
      <w:br/>
      <w:r>
        <w:rPr>
          <w:sz w:val="24"/>
          <w:szCs w:val="24"/>
        </w:rPr>
        <w:t xml:space="preserve">Fliesenkleber aus Map 7 ist durch einen Schadstoffsanierer gemäss den Vorgaben von EKAS 6503 Kap. 7 rückzubauen.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MaP-8 Fliesenkleber</w:t>
      </w:r>
      <w:r>
        <w:rPr>
          <w:sz w:val="24"/>
          <w:szCs w:val="24"/>
        </w:rPr>
        <w:t xml:space="preserve">  </w:t>
      </w:r>
      <w:br/>
      <w:r>
        <w:rPr>
          <w:sz w:val="24"/>
          <w:szCs w:val="24"/>
        </w:rPr>
        <w:t xml:space="preserve">Der Fliesenkleber aus Map 8 wird von einem Schadstoffsanierer unter Einhaltung der Richtlinien EKAS 6503 Kap. 7 entfernt.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VB-1 LAP</w:t>
      </w:r>
      <w:r>
        <w:rPr>
          <w:sz w:val="24"/>
          <w:szCs w:val="24"/>
        </w:rPr>
        <w:t xml:space="preserve">  </w:t>
      </w:r>
      <w:br/>
      <w:r>
        <w:rPr>
          <w:sz w:val="24"/>
          <w:szCs w:val="24"/>
        </w:rPr>
        <w:t xml:space="preserve">Das Material LAP aus VB-1 ist durch einen Schadstoffsanierer gemäss den Richtlinien 33036 zu sanieren. Die Entsorgung geschieht mit dem LVA Code 17 06 05 S.</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w:t>
      </w:r>
      <w:br/>
      <w:r>
        <w:rPr>
          <w:sz w:val="24"/>
          <w:szCs w:val="24"/>
        </w:rPr>
        <w:t xml:space="preserve">LAP aus VB-2 wird durch Schadstoffsanierer nach den Richtlinien 33036 rückgebaut. Es ist mit dem LVA Code 17 06 05 S zu entsorgen.</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w:t>
      </w:r>
      <w:br/>
      <w:r>
        <w:rPr>
          <w:sz w:val="24"/>
          <w:szCs w:val="24"/>
        </w:rPr>
        <w:t xml:space="preserve">Material LAP aus VB-3 muss von einem Schadstoffsanierer gemäss den Vorgaben der Richtlinie 33036 saniert werden.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VB-4 LAP</w:t>
      </w:r>
      <w:r>
        <w:rPr>
          <w:sz w:val="24"/>
          <w:szCs w:val="24"/>
        </w:rPr>
        <w:t xml:space="preserve">  </w:t>
      </w:r>
      <w:br/>
      <w:r>
        <w:rPr>
          <w:sz w:val="24"/>
          <w:szCs w:val="24"/>
        </w:rPr>
        <w:t xml:space="preserve">LAP aus VB-4 ist von Schadstoffsanierern nach den Richtlinien 33036 zu behandeln.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VB-5 LAP</w:t>
      </w:r>
      <w:r>
        <w:rPr>
          <w:sz w:val="24"/>
          <w:szCs w:val="24"/>
        </w:rPr>
        <w:t xml:space="preserve">  </w:t>
      </w:r>
      <w:br/>
      <w:r>
        <w:rPr>
          <w:sz w:val="24"/>
          <w:szCs w:val="24"/>
        </w:rPr>
        <w:t xml:space="preserve">Das Material LAP aus VB-5 wird durch einen Schadstoffsanierer gemäss den Richtlinien 33036 entfernt. Es ist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MaP-3</w:t>
            </w:r>
          </w:p>
        </w:tc>
        <w:tc>
          <w:tcPr>
            <w:shd w:val="clear" w:fill="orange"/>
            <w:noWrap/>
          </w:tcPr>
          <w:p>
            <w:pPr/>
            <w:r>
              <w:rPr/>
              <w:t xml:space="preserve">ganzes Haus
</w:t>
            </w:r>
          </w:p>
          <w:p>
            <w:pPr/>
            <w:r>
              <w:rPr/>
              <w:t xml:space="preserve">UG-OG
</w:t>
            </w:r>
          </w:p>
        </w:tc>
        <w:tc>
          <w:tcPr>
            <w:shd w:val="clear" w:fill="orange"/>
            <w:noWrap/>
          </w:tcPr>
          <w:p>
            <w:pPr/>
            <w:r>
              <w:rPr/>
              <w:t xml:space="preserve">VM-3
</w:t>
            </w:r>
          </w:p>
          <w:p>
            <w:pPr/>
            <w:r>
              <w:rPr/>
              <w:t xml:space="preserve">Fensterkitt
</w:t>
            </w:r>
          </w:p>
          <w:p>
            <w:pPr/>
            <w:r>
              <w:rPr/>
              <w:t xml:space="preserve">alle 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Wohnzimmer
</w:t>
            </w:r>
          </w:p>
          <w:p>
            <w:pPr/>
            <w:r>
              <w:rPr/>
              <w:t xml:space="preserve">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OG
</w:t>
            </w:r>
          </w:p>
        </w:tc>
        <w:tc>
          <w:tcPr>
            <w:shd w:val="clear" w:fill="red"/>
            <w:noWrap/>
          </w:tcPr>
          <w:p>
            <w:pPr/>
            <w:r>
              <w:rPr/>
              <w:t xml:space="preserve">VM-10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gesamtes Stockwerk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tc>
        <w:tc>
          <w:tcPr>
            <w:shd w:val="clear" w:fill="red"/>
            <w:noWrap/>
          </w:tcPr>
          <w:p>
            <w:pPr/>
            <w:r>
              <w:rPr/>
              <w:t xml:space="preserve">VM-10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tc>
        <w:tc>
          <w:tcPr>
            <w:shd w:val="clear" w:fill="red"/>
            <w:noWrap/>
          </w:tcPr>
          <w:p>
            <w:pPr/>
            <w:r>
              <w:rPr/>
              <w:t xml:space="preserve">VM-10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MaP-9</w:t>
            </w:r>
          </w:p>
        </w:tc>
        <w:tc>
          <w:tcPr>
            <w:shd w:val="clear" w:fill="orange"/>
            <w:noWrap/>
          </w:tcPr>
          <w:p>
            <w:pPr/>
            <w:r>
              <w:rPr/>
              <w:t xml:space="preserve">Küche
</w:t>
            </w:r>
          </w:p>
          <w:p>
            <w:pPr/>
            <w:r>
              <w:rPr/>
              <w:t xml:space="preserve">EG
</w:t>
            </w:r>
          </w:p>
        </w:tc>
        <w:tc>
          <w:tcPr>
            <w:shd w:val="clear" w:fill="orange"/>
            <w:noWrap/>
          </w:tcPr>
          <w:p>
            <w:pPr/>
            <w:r>
              <w:rPr/>
              <w:t xml:space="preserve">VM-7
</w:t>
            </w:r>
          </w:p>
          <w:p>
            <w:pPr/>
            <w:r>
              <w:rPr/>
              <w:t xml:space="preserve">(elastische) Bodenbeläge
</w:t>
            </w:r>
          </w:p>
          <w:p>
            <w:pPr/>
            <w:r>
              <w:rPr/>
              <w:t xml:space="preserve">Küchenboden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Fassade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EG
</w:t>
            </w:r>
          </w:p>
        </w:tc>
        <w:tc>
          <w:tcPr>
            <w:shd w:val="clear" w:fill="red"/>
            <w:noWrap/>
          </w:tcPr>
          <w:p>
            <w:pPr/>
            <w:r>
              <w:rPr/>
              <w:t xml:space="preserve">VM-5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VB-2</w:t>
            </w:r>
          </w:p>
        </w:tc>
        <w:tc>
          <w:tcPr>
            <w:shd w:val="clear" w:fill="red"/>
            <w:noWrap/>
          </w:tcPr>
          <w:p>
            <w:pPr/>
            <w:r>
              <w:rPr/>
              <w:t xml:space="preserve">Cheminée
</w:t>
            </w:r>
          </w:p>
          <w:p>
            <w:pPr/>
            <w:r>
              <w:rPr/>
              <w:t xml:space="preserve">OG
</w:t>
            </w:r>
          </w:p>
        </w:tc>
        <w:tc>
          <w:tcPr>
            <w:shd w:val="clear" w:fill="red"/>
            <w:noWrap/>
          </w:tcPr>
          <w:p>
            <w:pPr/>
            <w:r>
              <w:rPr/>
              <w:t xml:space="preserve">VM-6
</w:t>
            </w:r>
          </w:p>
          <w:p>
            <w:pPr/>
            <w:r>
              <w:rPr/>
              <w:t xml:space="preserve">LAP
</w:t>
            </w:r>
          </w:p>
          <w:p>
            <w:pPr/>
            <w:r>
              <w:rPr/>
              <w:t xml:space="preserve">im inneren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VB-3</w:t>
            </w:r>
          </w:p>
        </w:tc>
        <w:tc>
          <w:tcPr>
            <w:shd w:val="clear" w:fill="red"/>
            <w:noWrap/>
          </w:tcPr>
          <w:p>
            <w:pPr/>
            <w:r>
              <w:rPr/>
              <w:t xml:space="preserve">alle Heizkörper
</w:t>
            </w:r>
          </w:p>
          <w:p>
            <w:pPr/>
            <w:r>
              <w:rPr/>
              <w:t xml:space="preserve">EG und OG
</w:t>
            </w:r>
          </w:p>
        </w:tc>
        <w:tc>
          <w:tcPr>
            <w:shd w:val="clear" w:fill="red"/>
            <w:noWrap/>
          </w:tcPr>
          <w:p>
            <w:pPr/>
            <w:r>
              <w:rPr/>
              <w:t xml:space="preserve">VM-6
</w:t>
            </w:r>
          </w:p>
          <w:p>
            <w:pPr/>
            <w:r>
              <w:rPr/>
              <w:t xml:space="preserve">LAP
</w:t>
            </w:r>
          </w:p>
          <w:p>
            <w:pPr/>
            <w:r>
              <w:rPr/>
              <w:t xml:space="preserve">im inneren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VB-4</w:t>
            </w:r>
          </w:p>
        </w:tc>
        <w:tc>
          <w:tcPr>
            <w:shd w:val="clear" w:fill="red"/>
            <w:noWrap/>
          </w:tcPr>
          <w:p>
            <w:pPr/>
            <w:r>
              <w:rPr/>
              <w:t xml:space="preserve">Küche
</w:t>
            </w:r>
          </w:p>
          <w:p>
            <w:pPr/>
            <w:r>
              <w:rPr/>
              <w:t xml:space="preserve">EG
</w:t>
            </w:r>
          </w:p>
        </w:tc>
        <w:tc>
          <w:tcPr>
            <w:shd w:val="clear" w:fill="red"/>
            <w:noWrap/>
          </w:tcPr>
          <w:p>
            <w:pPr/>
            <w:r>
              <w:rPr/>
              <w:t xml:space="preserve">VM-5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VB-5</w:t>
            </w:r>
          </w:p>
        </w:tc>
        <w:tc>
          <w:tcPr>
            <w:shd w:val="clear" w:fill="red"/>
            <w:noWrap/>
          </w:tcPr>
          <w:p>
            <w:pPr/>
            <w:r>
              <w:rPr/>
              <w:t xml:space="preserve">Wohnzimmer
</w:t>
            </w:r>
          </w:p>
          <w:p>
            <w:pPr/>
            <w:r>
              <w:rPr/>
              <w:t xml:space="preserve">EG
</w:t>
            </w:r>
          </w:p>
        </w:tc>
        <w:tc>
          <w:tcPr>
            <w:shd w:val="clear" w:fill="red"/>
            <w:noWrap/>
          </w:tcPr>
          <w:p>
            <w:pPr/>
            <w:r>
              <w:rPr/>
              <w:t xml:space="preserve">VM-6
</w:t>
            </w:r>
          </w:p>
          <w:p>
            <w:pPr/>
            <w:r>
              <w:rPr/>
              <w:t xml:space="preserve">LAP
</w:t>
            </w:r>
          </w:p>
          <w:p>
            <w:pPr/>
            <w:r>
              <w:rPr/>
              <w:t xml:space="preserve">im inneren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VB-6</w:t>
            </w:r>
          </w:p>
        </w:tc>
        <w:tc>
          <w:tcPr>
            <w:shd w:val="clear" w:fill="green"/>
            <w:noWrap/>
          </w:tcPr>
          <w:p>
            <w:pPr/>
            <w:r>
              <w:rPr/>
              <w:t xml:space="preserve">Eingang
</w:t>
            </w:r>
          </w:p>
          <w:p>
            <w:pPr/>
            <w:r>
              <w:rPr/>
              <w:t xml:space="preserve">EG
</w:t>
            </w:r>
          </w:p>
        </w:tc>
        <w:tc>
          <w:tcPr>
            <w:shd w:val="clear" w:fill="green"/>
            <w:noWrap/>
          </w:tcPr>
          <w:p>
            <w:pPr/>
            <w:r>
              <w:rPr/>
              <w:t xml:space="preserve">VM-8
</w:t>
            </w:r>
          </w:p>
          <w:p>
            <w:pPr/>
            <w:r>
              <w:rPr/>
              <w:t xml:space="preserve">Faserzement / LAP
</w:t>
            </w:r>
          </w:p>
          <w:p>
            <w:pPr/>
            <w:r>
              <w:rPr/>
              <w:t xml:space="preserve">Elektrotableau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