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Weyermühlestrasse 17, Muri,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419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Daniel Zimmermann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Weyermühlestrasse 17, Muri, Switzerland</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Daniel Zimmermann</w:t>
            </w:r>
            <w:bookmarkEnd w:id="12"/>
            <w:r w:rsidRPr="00FF365E">
              <w:rPr>
                <w:sz w:val="24"/>
                <w:szCs w:val="24"/>
                <w:lang w:val="en-GB"/>
              </w:rPr>
              <w:t xml:space="preserve"> </w:t>
            </w:r>
            <w:bookmarkStart w:id="13" w:name="OLE_LINK13"/>
            <w:r w:rsidRPr="00FF365E">
              <w:rPr>
                <w:sz w:val="24"/>
                <w:szCs w:val="24"/>
                <w:lang w:val="en-GB"/>
              </w:rPr>
              <w:t xml:space="preserve">Weyermühlestrasse 17, Muri, Switzerland</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28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Probe-ID 3710A</w:t>
      </w:r>
      <w:r>
        <w:rPr/>
        <w:t xml:space="preserve">: Faserzement kann durch Schadstoffsanierer entfernt werden, wobei die Richtlinien 32 808 zu beachten sind. Es ist mit dem lva code 170605 in einer Spezialdeponie zu entsorgen.</w:t>
      </w:r>
      <w:br/>
      <w:r>
        <w:rPr/>
        <w:t xml:space="preserve"/>
      </w:r>
      <w:br/>
      <w:r>
        <w:rPr>
          <w:b w:val="1"/>
          <w:bCs w:val="1"/>
        </w:rPr>
        <w:t xml:space="preserve"/>
      </w:r>
      <w:r>
        <w:rPr>
          <w:b w:val="1"/>
          <w:bCs w:val="1"/>
        </w:rPr>
        <w:t xml:space="preserve">Probe-ID 40AA</w:t>
      </w:r>
      <w:r>
        <w:rPr/>
        <w:t xml:space="preserve">: Bitumendachabdichtung, die auf 250 m² Fläche vorliegt, kann ebenfalls von Schadstoffsanierern gemäss den Richtlinien 32 808 entfernt werden. Der LVA-Code für die Entsorgung lautet 170301.</w:t>
      </w:r>
      <w:br/>
      <w:r>
        <w:rPr/>
        <w:t xml:space="preserve"/>
      </w:r>
      <w:br/>
      <w:r>
        <w:rPr>
          <w:b w:val="1"/>
          <w:bCs w:val="1"/>
        </w:rPr>
        <w:t xml:space="preserve"/>
      </w:r>
      <w:r>
        <w:rPr>
          <w:b w:val="1"/>
          <w:bCs w:val="1"/>
        </w:rPr>
        <w:t xml:space="preserve">Probe-ID 17</w:t>
      </w:r>
      <w:r>
        <w:rPr/>
        <w:t xml:space="preserve">: Faserzement kann von instruierter Handwerker nach den Richtlinien 33031 rückgebaut werden. Dieses Material ist mit dem lva code 17 06 98nk auf einer Deponie vom Typ B zu entsorgen.</w:t>
      </w:r>
      <w:br/>
      <w:r>
        <w:rPr/>
        <w:t xml:space="preserve"/>
      </w:r>
      <w:br/>
      <w:r>
        <w:rPr>
          <w:b w:val="1"/>
          <w:bCs w:val="1"/>
        </w:rPr>
        <w:t xml:space="preserve"/>
      </w:r>
      <w:r>
        <w:rPr>
          <w:b w:val="1"/>
          <w:bCs w:val="1"/>
        </w:rPr>
        <w:t xml:space="preserve">Probe-ID 35ZB</w:t>
      </w:r>
      <w:r>
        <w:rPr/>
        <w:t xml:space="preserve">: Bei den glasbruchgefährlichen Fenstereinfassungen handelt es sich um PVC mit Dichtungsfolie, welches 50 Stück umfasst und nach den Richtlinien 33 682 von Handwerkern saniert werden kann. Der LVA-Code für die Entsorgung ist 170204.</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
</w:t>
            </w:r>
          </w:p>
          <w:p>
            <w:pPr/>
            <w:r>
              <w:rPr/>
              <w:t xml:space="preserve">EG
</w:t>
            </w:r>
          </w:p>
          <w:p>
            <w:pPr/>
            <w:r>
              <w:rPr/>
              <w:t xml:space="preserve">Boden
</w:t>
            </w:r>
          </w:p>
        </w:tc>
        <w:tc>
          <w:tcPr>
            <w:noWrap/>
          </w:tcPr>
          <w:p>
            <w:pPr/>
            <w:r>
              <w:rPr/>
              <w:t xml:space="preserve">VM-1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Treppenhaus
</w:t>
            </w:r>
          </w:p>
          <w:p>
            <w:pPr/>
            <w:r>
              <w:rPr/>
              <w:t xml:space="preserve">EG
</w:t>
            </w:r>
          </w:p>
          <w:p>
            <w:pPr/>
            <w:r>
              <w:rPr/>
              <w:t xml:space="preserve">Boden
</w:t>
            </w:r>
          </w:p>
        </w:tc>
        <w:tc>
          <w:tcPr>
            <w:noWrap/>
          </w:tcPr>
          <w:p>
            <w:pPr/>
            <w:r>
              <w:rPr/>
              <w:t xml:space="preserve">VM-2
</w:t>
            </w:r>
          </w:p>
          <w:p>
            <w:pPr/>
            <w:r>
              <w:rPr/>
              <w:t xml:space="preserve">Klebstoffe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