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375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Marc Baier</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Marc Baier</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05 July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b w:val="1"/>
          <w:bCs w:val="1"/>
        </w:rPr>
        <w:t xml:space="preserve"/>
      </w:r>
      <w:r>
        <w:rPr>
          <w:b w:val="1"/>
          <w:bCs w:val="1"/>
        </w:rPr>
        <w:t xml:space="preserve">Faserzement</w:t>
      </w:r>
      <w:r>
        <w:rPr/>
        <w:t xml:space="preserve"> aus Map 17 kann durch instruierte Handwerker unter Einhaltung der Richtlinien 33031 rückgebaut werden und ist mit dem LVA Code 17 06 98nk in einer Deponie Typ B zu entsorgen.</w:t>
      </w:r>
      <w:br/>
      <w:r>
        <w:rPr/>
        <w:t xml:space="preserve"/>
      </w:r>
      <w:br/>
      <w:r>
        <w:rPr>
          <w:b w:val="1"/>
          <w:bCs w:val="1"/>
        </w:rPr>
        <w:t xml:space="preserve"/>
      </w:r>
      <w:r>
        <w:rPr>
          <w:b w:val="1"/>
          <w:bCs w:val="1"/>
        </w:rPr>
        <w:t xml:space="preserve">Isoliermaterial</w:t>
      </w:r>
      <w:r>
        <w:rPr/>
        <w:t xml:space="preserve"> aus Map 18 muss durch Schadstoffsanierer gemäss Richtlinien 33015 entfernt werden und ist mit dem LVA Code 17 06 98nk zu lagern.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Büro
</w:t>
            </w:r>
          </w:p>
          <w:p>
            <w:pPr/>
            <w:r>
              <w:rPr/>
              <w:t xml:space="preserve">2. OG
</w:t>
            </w:r>
          </w:p>
          <w:p>
            <w:pPr/>
            <w:r>
              <w:rPr/>
              <w:t xml:space="preserve">Wand innen
</w:t>
            </w:r>
          </w:p>
        </w:tc>
        <w:tc>
          <w:tcPr>
            <w:noWrap/>
          </w:tcPr>
          <w:p>
            <w:pPr/>
            <w:r>
              <w:rPr/>
              <w:t xml:space="preserve">VM-1
</w:t>
            </w:r>
          </w:p>
          <w:p>
            <w:pPr/>
            <w:r>
              <w:rPr/>
              <w:t xml:space="preserve">Putz
</w:t>
            </w:r>
          </w:p>
          <w:p>
            <w:pPr/>
            <w:r>
              <w:rPr/>
              <w:t xml:space="preserve">Wand innen
</w:t>
            </w:r>
          </w:p>
        </w:tc>
        <w:tc>
          <w:tcPr>
            <w:noWrap/>
          </w:tcPr>
          <w:p>
            <w:pPr/>
            <w:r>
              <w:rPr/>
              <w:t xml:space="preserve"/>
            </w:r>
          </w:p>
        </w:tc>
        <w:tc>
          <w:tcPr>
            <w:noWrap/>
          </w:tcPr>
          <w:p>
            <w:pPr/>
            <w:r>
              <w:rPr/>
              <w:t xml:space="preserve"/>
              <w:pict>
                <v:shape type="#_x0000_t75" style="width:100px;height:150px" stroked="f" filled="f">
                  <v:imagedata r:id="rId17" o:title=""/>
                </v:shape>
              </w:pict>
              <w:t xml:space="preserve"/>
            </w:r>
          </w:p>
        </w:tc>
        <w:tc>
          <w:tcPr>
            <w:noWrap/>
          </w:tcPr>
          <w:p>
            <w:pPr/>
            <w:r>
              <w:rPr/>
              <w:t xml:space="preserve"/>
              <w:pict>
                <v:shape type="#_x0000_t75" style="width:100px;height:150px" stroked="f" filled="f">
                  <v:imagedata r:id="rId18" o:title=""/>
                </v:shape>
              </w:pict>
              <w:t xml:space="preserve"/>
            </w:r>
          </w:p>
        </w:tc>
      </w:tr>
      <w:tr>
        <w:trPr/>
        <w:tc>
          <w:tcPr>
            <w:shd w:val="clear"/>
            <w:noWrap/>
          </w:tcPr>
          <w:p>
            <w:pPr/>
            <w:r>
              <w:rPr/>
              <w:t xml:space="preserve">MaP-2</w:t>
            </w:r>
          </w:p>
        </w:tc>
        <w:tc>
          <w:tcPr>
            <w:noWrap/>
          </w:tcPr>
          <w:p>
            <w:pPr/>
            <w:r>
              <w:rPr/>
              <w:t xml:space="preserve">Büro
</w:t>
            </w:r>
          </w:p>
          <w:p>
            <w:pPr/>
            <w:r>
              <w:rPr/>
              <w:t xml:space="preserve">2. OG
</w:t>
            </w:r>
          </w:p>
          <w:p>
            <w:pPr/>
            <w:r>
              <w:rPr/>
              <w:t xml:space="preserve">Wand aussen
</w:t>
            </w:r>
          </w:p>
        </w:tc>
        <w:tc>
          <w:tcPr>
            <w:noWrap/>
          </w:tcPr>
          <w:p>
            <w:pPr/>
            <w:r>
              <w:rPr/>
              <w:t xml:space="preserve">VM-2
</w:t>
            </w:r>
          </w:p>
          <w:p>
            <w:pPr/>
            <w:r>
              <w:rPr/>
              <w:t xml:space="preserve">Putz
</w:t>
            </w:r>
          </w:p>
          <w:p>
            <w:pPr/>
            <w:r>
              <w:rPr/>
              <w:t xml:space="preserve">Wand aussen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