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Chilenrainweg 6, Schlatt bei Winterthur,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508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351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Rückbau/Umbau</w:t>
              <w:br/>
              <w:t/>
              <w:b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David Bänzinger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Chilenrainweg 6, Schlatt bei Winterthur, Switzerland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David Bänzinger</w:t>
            </w:r>
            <w:bookmarkEnd w:id="12"/>
            <w:r w:rsidRPr="00FF365E">
              <w:rPr>
                <w:sz w:val="24"/>
                <w:szCs w:val="24"/>
                <w:lang w:val="en-GB"/>
              </w:rPr>
              <w:t xml:space="preserve"> </w:t>
            </w:r>
            <w:bookmarkStart w:id="13" w:name="OLE_LINK13"/>
            <w:r w:rsidRPr="00FF365E">
              <w:rPr>
                <w:sz w:val="24"/>
                <w:szCs w:val="24"/>
                <w:lang w:val="en-GB"/>
              </w:rPr>
              <w:t xml:space="preserve"> Chilenrainweg 6, Schlatt bei Winterthur, Switzerland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WC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WC
</w:t>
            </w:r>
          </w:p>
          <w:p>
            <w:pPr/>
            <w:r>
              <w:rPr/>
              <w:t xml:space="preserve">OG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Küche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Dusche
</w:t>
            </w:r>
          </w:p>
          <w:p>
            <w:pPr/>
            <w:r>
              <w:rPr/>
              <w:t xml:space="preserve">UG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MaP-19</w:t>
            </w:r>
          </w:p>
        </w:tc>
        <w:tc>
          <w:tcPr>
            <w:noWrap/>
          </w:tcPr>
          <w:p>
            <w:pPr/>
            <w:r>
              <w:rPr/>
              <w:t xml:space="preserve">Fassade
</w:t>
            </w:r>
          </w:p>
          <w:p>
            <w:pPr/>
            <w:r>
              <w:rPr/>
              <w:t xml:space="preserve">OG
</w:t>
            </w:r>
          </w:p>
        </w:tc>
        <w:tc>
          <w:tcPr>
            <w:noWrap/>
          </w:tcPr>
          <w:p>
            <w:pPr/>
            <w:r>
              <w:rPr/>
              <w:t xml:space="preserve">Schindel</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Dachstock
</w:t>
            </w:r>
          </w:p>
          <w:p>
            <w:pPr/>
            <w:r>
              <w:rPr/>
              <w:t xml:space="preserve">DG
</w:t>
            </w:r>
          </w:p>
        </w:tc>
        <w:tc>
          <w:tcPr>
            <w:noWrap/>
          </w:tcPr>
          <w:p>
            <w:pPr/>
            <w:r>
              <w:rPr/>
              <w:t xml:space="preserve">Konstruktions-und Verkleidungsholz</w:t>
            </w:r>
          </w:p>
        </w:tc>
        <w:tc>
          <w:tcPr>
            <w:noWrap/>
          </w:tcPr>
          <w:p>
            <w:pPr/>
            <w:r>
              <w:rPr/>
              <w:t xml:space="preserve">behandeltes Holz</w:t>
            </w:r>
          </w:p>
        </w:tc>
        <w:tc>
          <w:tcPr>
            <w:noWrap/>
          </w:tcPr>
          <w:p>
            <w:pPr/>
            <w:r>
              <w:rPr/>
              <w:t xml:space="preserve">Asbest
Holzschutzmittel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Gang und Treppenhaus
</w:t>
            </w:r>
          </w:p>
          <w:p>
            <w:pPr/>
            <w:r>
              <w:rPr/>
              <w:t xml:space="preserve">UG
</w:t>
            </w:r>
          </w:p>
        </w:tc>
        <w:tc>
          <w:tcPr>
            <w:noWrap/>
          </w:tcPr>
          <w:p>
            <w:pPr/>
            <w:r>
              <w:rPr/>
              <w:t xml:space="preserve">Elektrokasten</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MaP-7</w:t>
      </w:r>
      <w:r>
        <w:rPr>
          <w:sz w:val="24"/>
          <w:szCs w:val="24"/>
        </w:rPr>
        <w:t xml:space="preserve">: Der Fliesenkleber in der Wand des WCs im Obergeschoss enthält Asbest. Dieser muss von einem Schadstoffsanierer gemäss den Richtlinien des EKAS Kap. 7 rückgebaut werden und ist mit dem LVA Code 17 06 05 S zu entsorgen.</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Der Plattenkleber im Boden des WCs im Obergeschoss weist Asbest auf. Ein Schadstoffsanierer soll den Rückbau unter Einhaltung der EKAS Richtlinien Kap. 7 durchführen, wobei das Material unter dem LVA Code 17 06 05 S entsorgt werden muss.</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An der Wand der Küche im Obergeschoss wurden im Fliesenkleber Asbestschadstoffe entdeckt. Der Rückbau ist durch einen Schadstoffsanierer entsprechend den EKAS 6503 Kap. 7 Richtlinien durchzuführen und der LVA Code zur Entsorgung lautet 17 06 05 S.</w:t>
      </w:r>
      <w:br/>
      <w:r>
        <w:rPr>
          <w:sz w:val="24"/>
          <w:szCs w:val="24"/>
        </w:rPr>
        <w:t xml:space="preserve"/>
      </w:r>
      <w:br/>
      <w:r>
        <w:rPr>
          <w:sz w:val="24"/>
          <w:szCs w:val="24"/>
          <w:b w:val="1"/>
          <w:bCs w:val="1"/>
        </w:rPr>
        <w:t xml:space="preserve"/>
      </w:r>
      <w:r>
        <w:rPr>
          <w:sz w:val="24"/>
          <w:szCs w:val="24"/>
          <w:b w:val="1"/>
          <w:bCs w:val="1"/>
        </w:rPr>
        <w:t xml:space="preserve">MaP-18</w:t>
      </w:r>
      <w:r>
        <w:rPr>
          <w:sz w:val="24"/>
          <w:szCs w:val="24"/>
        </w:rPr>
        <w:t xml:space="preserve">: Der Fliesenkleber an der Wand der Dusche im Untergeschoss ist mit Asbest belastet. Gemäss den Richtlinien EKAS 6503 Kap. 7 muss die Entsorgung durch einen Schadstoffsanierer erfolgen, mit dem LVA Code 17 06 05 S.</w:t>
      </w:r>
      <w:br/>
      <w:r>
        <w:rPr>
          <w:sz w:val="24"/>
          <w:szCs w:val="24"/>
        </w:rPr>
        <w:t xml:space="preserve"/>
      </w:r>
      <w:br/>
      <w:r>
        <w:rPr>
          <w:sz w:val="24"/>
          <w:szCs w:val="24"/>
          <w:b w:val="1"/>
          <w:bCs w:val="1"/>
        </w:rPr>
        <w:t xml:space="preserve"/>
      </w:r>
      <w:r>
        <w:rPr>
          <w:sz w:val="24"/>
          <w:szCs w:val="24"/>
          <w:b w:val="1"/>
          <w:bCs w:val="1"/>
        </w:rPr>
        <w:t xml:space="preserve">MaP-19</w:t>
      </w:r>
      <w:r>
        <w:rPr>
          <w:sz w:val="24"/>
          <w:szCs w:val="24"/>
        </w:rPr>
        <w:t xml:space="preserve">: Faserzement an der Fassade im Obergeschoss enthält Asbest. Der Rückbau darf durch instruierte Handwerker unter Einhaltung der Richtlinien 33031 erfolgen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Im Dachstock des Dachgeschosses, beim Konstruktions- und Verkleidungsholz, wurde Asbestverdacht sowie Holzschutzmittel festgestellt.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Der Elektrokasten im Gang und Treppenhaus im Untergeschoss besteht aus faserzementhaltigem Material. Der Ausbau erfolgt durch zertifizierte Elektriker und die Materialtrennung durch einen Sanierer, gemäss der Richtlinie EKAS 6503, wobei der LVA Code 17 06 98 nk (ggf. 17 06 05 S) zur Anwendung kommt.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OG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Bad
</w:t>
            </w:r>
          </w:p>
          <w:p>
            <w:pPr/>
            <w:r>
              <w:rPr/>
              <w:t xml:space="preserve">OG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WC
</w:t>
            </w:r>
          </w:p>
          <w:p>
            <w:pPr/>
            <w:r>
              <w:rPr/>
              <w:t xml:space="preserve">OG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WC
</w:t>
            </w:r>
          </w:p>
          <w:p>
            <w:pPr/>
            <w:r>
              <w:rPr/>
              <w:t xml:space="preserve">OG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OG
</w:t>
            </w:r>
          </w:p>
        </w:tc>
        <w:tc>
          <w:tcPr>
            <w:shd w:val="clear" w:fill="red"/>
            <w:noWrap/>
          </w:tcPr>
          <w:p>
            <w:pPr/>
            <w:r>
              <w:rPr/>
              <w:t xml:space="preserve">VM-11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OG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Küche
</w:t>
            </w:r>
          </w:p>
          <w:p>
            <w:pPr/>
            <w:r>
              <w:rPr/>
              <w:t xml:space="preserve">OG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MaP-10</w:t>
            </w:r>
          </w:p>
        </w:tc>
        <w:tc>
          <w:tcPr>
            <w:shd w:val="clear" w:fill="green"/>
            <w:noWrap/>
          </w:tcPr>
          <w:p>
            <w:pPr/>
            <w:r>
              <w:rPr/>
              <w:t xml:space="preserve">Küche
</w:t>
            </w:r>
          </w:p>
          <w:p>
            <w:pPr/>
            <w:r>
              <w:rPr/>
              <w:t xml:space="preserve">OG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tc>
        <w:tc>
          <w:tcPr>
            <w:shd w:val="clear" w:fill="red"/>
            <w:noWrap/>
          </w:tcPr>
          <w:p>
            <w:pPr/>
            <w:r>
              <w:rPr/>
              <w:t xml:space="preserve">VM-11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OG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MaP-13</w:t>
            </w:r>
          </w:p>
        </w:tc>
        <w:tc>
          <w:tcPr>
            <w:shd w:val="clear" w:fill="green"/>
            <w:noWrap/>
          </w:tcPr>
          <w:p>
            <w:pPr/>
            <w:r>
              <w:rPr/>
              <w:t xml:space="preserve">Wohnzimmer
</w:t>
            </w:r>
          </w:p>
          <w:p>
            <w:pPr/>
            <w:r>
              <w:rPr/>
              <w:t xml:space="preserve">OG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MaP-14</w:t>
            </w:r>
          </w:p>
        </w:tc>
        <w:tc>
          <w:tcPr>
            <w:shd w:val="clear" w:fill="green"/>
            <w:noWrap/>
          </w:tcPr>
          <w:p>
            <w:pPr/>
            <w:r>
              <w:rPr/>
              <w:t xml:space="preserve">Schlafzimmer
</w:t>
            </w:r>
          </w:p>
          <w:p>
            <w:pPr/>
            <w:r>
              <w:rPr/>
              <w:t xml:space="preserve">OG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MaP-15</w:t>
            </w:r>
          </w:p>
        </w:tc>
        <w:tc>
          <w:tcPr>
            <w:shd w:val="clear" w:fill="green"/>
            <w:noWrap/>
          </w:tcPr>
          <w:p>
            <w:pPr/>
            <w:r>
              <w:rPr/>
              <w:t xml:space="preserve">Zimmer
</w:t>
            </w:r>
          </w:p>
          <w:p>
            <w:pPr/>
            <w:r>
              <w:rPr/>
              <w:t xml:space="preserve">OG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MaP-16</w:t>
            </w:r>
          </w:p>
        </w:tc>
        <w:tc>
          <w:tcPr>
            <w:shd w:val="clear" w:fill="green"/>
            <w:noWrap/>
          </w:tcPr>
          <w:p>
            <w:pPr/>
            <w:r>
              <w:rPr/>
              <w:t xml:space="preserve">Gang und Treppenhaus
</w:t>
            </w:r>
          </w:p>
          <w:p>
            <w:pPr/>
            <w:r>
              <w:rPr/>
              <w:t xml:space="preserve">EG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MaP-17</w:t>
            </w:r>
          </w:p>
        </w:tc>
        <w:tc>
          <w:tcPr>
            <w:shd w:val="clear" w:fill="green"/>
            <w:noWrap/>
          </w:tcPr>
          <w:p>
            <w:pPr/>
            <w:r>
              <w:rPr/>
              <w:t xml:space="preserve">Gang und Treppenhaus
</w:t>
            </w:r>
          </w:p>
          <w:p>
            <w:pPr/>
            <w:r>
              <w:rPr/>
              <w:t xml:space="preserve">EG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Dusche
</w:t>
            </w:r>
          </w:p>
          <w:p>
            <w:pPr/>
            <w:r>
              <w:rPr/>
              <w:t xml:space="preserve">UG
</w:t>
            </w:r>
          </w:p>
        </w:tc>
        <w:tc>
          <w:tcPr>
            <w:shd w:val="clear" w:fill="red"/>
            <w:noWrap/>
          </w:tcPr>
          <w:p>
            <w:pPr/>
            <w:r>
              <w:rPr/>
              <w:t xml:space="preserve">VM-11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Fassade
</w:t>
            </w:r>
          </w:p>
          <w:p>
            <w:pPr/>
            <w:r>
              <w:rPr/>
              <w:t xml:space="preserve">OG
</w:t>
            </w:r>
          </w:p>
        </w:tc>
        <w:tc>
          <w:tcPr>
            <w:shd w:val="clear" w:fill="orange"/>
            <w:noWrap/>
          </w:tcPr>
          <w:p>
            <w:pPr/>
            <w:r>
              <w:rPr/>
              <w:t xml:space="preserve">VM-9
</w:t>
            </w:r>
          </w:p>
          <w:p>
            <w:pPr/>
            <w:r>
              <w:rPr/>
              <w:t xml:space="preserve">Faserzement
</w:t>
            </w:r>
          </w:p>
          <w:p>
            <w:pPr/>
            <w:r>
              <w:rPr/>
              <w:t xml:space="preserve">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Fassade
</w:t>
            </w:r>
          </w:p>
          <w:p>
            <w:pPr/>
            <w:r>
              <w:rPr/>
              <w:t xml:space="preserve">UG
</w:t>
            </w:r>
          </w:p>
        </w:tc>
        <w:tc>
          <w:tcPr>
            <w:shd w:val="clear" w:fill="green"/>
            <w:noWrap/>
          </w:tcPr>
          <w:p>
            <w:pPr/>
            <w:r>
              <w:rPr/>
              <w:t xml:space="preserve">VM-3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VB-1</w:t>
            </w:r>
          </w:p>
        </w:tc>
        <w:tc>
          <w:tcPr>
            <w:shd w:val="clear" w:fill="green"/>
            <w:noWrap/>
          </w:tcPr>
          <w:p>
            <w:pPr/>
            <w:r>
              <w:rPr/>
              <w:t xml:space="preserve">Dachstock
</w:t>
            </w:r>
          </w:p>
          <w:p>
            <w:pPr/>
            <w:r>
              <w:rPr/>
              <w:t xml:space="preserve">DG
</w:t>
            </w:r>
          </w:p>
        </w:tc>
        <w:tc>
          <w:tcPr>
            <w:shd w:val="clear" w:fill="green"/>
            <w:noWrap/>
          </w:tcPr>
          <w:p>
            <w:pPr/>
            <w:r>
              <w:rPr/>
              <w:t xml:space="preserve">VM-1
</w:t>
            </w:r>
          </w:p>
          <w:p>
            <w:pPr/>
            <w:r>
              <w:rPr/>
              <w:t xml:space="preserve">behandeltes Holz
</w:t>
            </w:r>
          </w:p>
          <w:p>
            <w:pPr/>
            <w:r>
              <w:rPr/>
              <w:t xml:space="preserve">Konstruktions-und Verkleidungsholz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VB-2</w:t>
            </w:r>
          </w:p>
        </w:tc>
        <w:tc>
          <w:tcPr>
            <w:shd w:val="clear" w:fill="red"/>
            <w:noWrap/>
          </w:tcPr>
          <w:p>
            <w:pPr/>
            <w:r>
              <w:rPr/>
              <w:t xml:space="preserve">Gang und Treppenhaus
</w:t>
            </w:r>
          </w:p>
          <w:p>
            <w:pPr/>
            <w:r>
              <w:rPr/>
              <w:t xml:space="preserve">UG
</w:t>
            </w:r>
          </w:p>
        </w:tc>
        <w:tc>
          <w:tcPr>
            <w:shd w:val="clear" w:fill="red"/>
            <w:noWrap/>
          </w:tcPr>
          <w:p>
            <w:pPr/>
            <w:r>
              <w:rPr/>
              <w:t xml:space="preserve">VM-6
</w:t>
            </w:r>
          </w:p>
          <w:p>
            <w:pPr/>
            <w:r>
              <w:rPr/>
              <w:t xml:space="preserve">Faserzement /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green"/>
            <w:noWrap/>
          </w:tcPr>
          <w:p>
            <w:pPr/>
            <w:r>
              <w:rPr/>
              <w:t xml:space="preserve">VB-3</w:t>
            </w:r>
          </w:p>
        </w:tc>
        <w:tc>
          <w:tcPr>
            <w:shd w:val="clear" w:fill="green"/>
            <w:noWrap/>
          </w:tcPr>
          <w:p>
            <w:pPr/>
            <w:r>
              <w:rPr/>
              <w:t xml:space="preserve">gesamtes Kellergeschoss Einbau jünger als 1990, wird nicht tangiert.
</w:t>
            </w:r>
          </w:p>
          <w:p>
            <w:pPr/>
            <w:r>
              <w:rPr/>
              <w:t xml:space="preserve">UG
</w:t>
            </w:r>
          </w:p>
        </w:tc>
        <w:tc>
          <w:tcPr>
            <w:shd w:val="clear" w:fill="green"/>
            <w:noWrap/>
          </w:tcPr>
          <w:p>
            <w:pPr/>
            <w:r>
              <w:rPr/>
              <w:t xml:space="preserve">VM-7
</w:t>
            </w:r>
          </w:p>
          <w:p>
            <w:pPr/>
            <w:r>
              <w:rPr/>
              <w:t xml:space="preserve">Einbau jünger 1990
</w:t>
            </w:r>
          </w:p>
          <w:p>
            <w:pPr/>
            <w:r>
              <w:rPr/>
              <w:t xml:space="preserve">sämtliche Bauteile im UG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6" o:title=""/>
                </v:shape>
              </w:pict>
              <w:t xml:space="preserve"/>
            </w:r>
          </w:p>
        </w:tc>
        <w:tc>
          <w:tcPr>
            <w:shd w:val="clear" w:fill="green"/>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VB-4</w:t>
            </w:r>
          </w:p>
        </w:tc>
        <w:tc>
          <w:tcPr>
            <w:shd w:val="clear" w:fill="green"/>
            <w:noWrap/>
          </w:tcPr>
          <w:p>
            <w:pPr/>
            <w:r>
              <w:rPr/>
              <w:t xml:space="preserve">Fenster
</w:t>
            </w:r>
          </w:p>
          <w:p>
            <w:pPr/>
            <w:r>
              <w:rPr/>
              <w:t xml:space="preserve">alle Stockwerke
</w:t>
            </w:r>
          </w:p>
        </w:tc>
        <w:tc>
          <w:tcPr>
            <w:shd w:val="clear" w:fill="green"/>
            <w:noWrap/>
          </w:tcPr>
          <w:p>
            <w:pPr/>
            <w:r>
              <w:rPr/>
              <w:t xml:space="preserve">VM-10
</w:t>
            </w:r>
          </w:p>
          <w:p>
            <w:pPr/>
            <w:r>
              <w:rPr/>
              <w:t xml:space="preserve">Fenster- und Anschlagkitt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