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Bürgerheimstrasse 9, 8822 Wädenswil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WE5328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344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Status Quo</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Christian Schnopp</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Bürgerheimstrasse 9, 8820 Wädenswil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Schnopp</w:t>
            </w:r>
            <w:bookmarkEnd w:id="12"/>
            <w:r w:rsidRPr="00FF365E">
              <w:rPr>
                <w:sz w:val="24"/>
                <w:szCs w:val="24"/>
                <w:lang w:val="en-GB"/>
              </w:rPr>
              <w:t xml:space="preserve"> </w:t>
            </w:r>
            <w:bookmarkStart w:id="13" w:name="OLE_LINK13"/>
            <w:r w:rsidRPr="00FF365E">
              <w:rPr>
                <w:sz w:val="24"/>
                <w:szCs w:val="24"/>
                <w:lang w:val="en-GB"/>
              </w:rPr>
              <w:t xml:space="preserve">Bürgerheimstrasse 9, 8820 Wädenswil</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Faserzement</w:t>
      </w:r>
      <w:r>
        <w:rPr/>
        <w:t xml:space="preserve"/>
      </w:r>
      <w:br/>
      <w:r>
        <w:rPr/>
        <w:t xml:space="preserve"/>
      </w:r>
      <w:br/>
      <w:r>
        <w:rPr/>
        <w:t xml:space="preserve">Faserzement aus Map 17 kann durch instruierte Handwerker unter Einhaltung der Richtlinien 33031 rückgebaut werden. Es ist mit dem LVA Code 17 06 98nk in einer Deponie Typ B zu entsorgen.</w:t>
      </w:r>
      <w:br/>
      <w:r>
        <w:rPr/>
        <w:t xml:space="preserve"/>
      </w:r>
      <w:br/>
      <w:r>
        <w:rPr>
          <w:b w:val="1"/>
          <w:bCs w:val="1"/>
        </w:rPr>
        <w:t xml:space="preserve"/>
      </w:r>
      <w:r>
        <w:rPr>
          <w:b w:val="1"/>
          <w:bCs w:val="1"/>
        </w:rPr>
        <w:t xml:space="preserve">Fensterkitt</w:t>
      </w:r>
      <w:r>
        <w:rPr/>
        <w:t xml:space="preserve"/>
      </w:r>
      <w:br/>
      <w:r>
        <w:rPr/>
        <w:t xml:space="preserve"/>
      </w:r>
      <w:br/>
      <w:r>
        <w:rPr/>
        <w:t xml:space="preserve">Fensterkitt aus der Probe 8.1 kann ausschliesslich durch zertifizierte Schadstoffsanierer zurückgebaut werden. Hierbei sind die Richtlinien 2121 zu beachten. Die Entsorgung erfolgt mit dem LVA Code EAK 17 06 99 in einer Deponie Typ E.</w:t>
      </w:r>
      <w:br/>
      <w:r>
        <w:rPr/>
        <w:t xml:space="preserve"/>
      </w:r>
      <w:br/>
      <w:r>
        <w:rPr>
          <w:b w:val="1"/>
          <w:bCs w:val="1"/>
        </w:rPr>
        <w:t xml:space="preserve"/>
      </w:r>
      <w:r>
        <w:rPr>
          <w:b w:val="1"/>
          <w:bCs w:val="1"/>
        </w:rPr>
        <w:t xml:space="preserve">Wandfarbe</w:t>
      </w:r>
      <w:r>
        <w:rPr/>
        <w:t xml:space="preserve"/>
      </w:r>
      <w:br/>
      <w:r>
        <w:rPr/>
        <w:t xml:space="preserve"/>
      </w:r>
      <w:br/>
      <w:r>
        <w:rPr/>
        <w:t xml:space="preserve">Wandfarbe von Map 8.2 fällt in den Aufgabenbereich von instruieren Handwerkern. Die zu beachtenden Richtlinien sind 223_STANDARD, und die Entsorgung erfolgt mit dem EAK 17 06 04 Code in Deponien des Typs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KP-1</w:t>
            </w:r>
          </w:p>
        </w:tc>
        <w:tc>
          <w:tcPr>
            <w:noWrap/>
          </w:tcPr>
          <w:p>
            <w:pPr/>
            <w:r>
              <w:rPr/>
              <w:t xml:space="preserve">Küche
</w:t>
            </w:r>
          </w:p>
          <w:p>
            <w:pPr/>
            <w:r>
              <w:rPr/>
              <w:t xml:space="preserve">OG
</w:t>
            </w:r>
          </w:p>
          <w:p>
            <w:pPr/>
            <w:r>
              <w:rPr/>
              <w:t xml:space="preserve">Backofen
</w:t>
            </w:r>
          </w:p>
        </w:tc>
        <w:tc>
          <w:tcPr>
            <w:noWrap/>
          </w:tcPr>
          <w:p>
            <w:pPr/>
            <w:r>
              <w:rPr/>
              <w:t xml:space="preserve">VM-4
</w:t>
            </w:r>
          </w:p>
          <w:p>
            <w:pPr/>
            <w:r>
              <w:rPr/>
              <w:t xml:space="preserve">Staub
</w:t>
            </w:r>
          </w:p>
          <w:p>
            <w:pPr/>
            <w:r>
              <w:rPr/>
              <w:t xml:space="preserve">Backofen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KP-2</w:t>
            </w:r>
          </w:p>
        </w:tc>
        <w:tc>
          <w:tcPr>
            <w:noWrap/>
          </w:tcPr>
          <w:p>
            <w:pPr/>
            <w:r>
              <w:rPr/>
              <w:t xml:space="preserve">Küche
</w:t>
            </w:r>
          </w:p>
          <w:p>
            <w:pPr/>
            <w:r>
              <w:rPr/>
              <w:t xml:space="preserve">OG
</w:t>
            </w:r>
          </w:p>
          <w:p>
            <w:pPr/>
            <w:r>
              <w:rPr/>
              <w:t xml:space="preserve">Deckenlampe
</w:t>
            </w:r>
          </w:p>
        </w:tc>
        <w:tc>
          <w:tcPr>
            <w:noWrap/>
          </w:tcPr>
          <w:p>
            <w:pPr/>
            <w:r>
              <w:rPr/>
              <w:t xml:space="preserve">VM-3
</w:t>
            </w:r>
          </w:p>
          <w:p>
            <w:pPr/>
            <w:r>
              <w:rPr/>
              <w:t xml:space="preserve">Staub
</w:t>
            </w:r>
          </w:p>
          <w:p>
            <w:pPr/>
            <w:r>
              <w:rPr/>
              <w:t xml:space="preserve">Deckenlampe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KP-3</w:t>
            </w:r>
          </w:p>
        </w:tc>
        <w:tc>
          <w:tcPr>
            <w:noWrap/>
          </w:tcPr>
          <w:p>
            <w:pPr/>
            <w:r>
              <w:rPr/>
              <w:t xml:space="preserve">Wohnzimmer
</w:t>
            </w:r>
          </w:p>
          <w:p>
            <w:pPr/>
            <w:r>
              <w:rPr/>
              <w:t xml:space="preserve">OG
</w:t>
            </w:r>
          </w:p>
          <w:p>
            <w:pPr/>
            <w:r>
              <w:rPr/>
              <w:t xml:space="preserve">Sockelleiste
</w:t>
            </w:r>
          </w:p>
        </w:tc>
        <w:tc>
          <w:tcPr>
            <w:noWrap/>
          </w:tcPr>
          <w:p>
            <w:pPr/>
            <w:r>
              <w:rPr/>
              <w:t xml:space="preserve">VM-2
</w:t>
            </w:r>
          </w:p>
          <w:p>
            <w:pPr/>
            <w:r>
              <w:rPr/>
              <w:t xml:space="preserve">Staub
</w:t>
            </w:r>
          </w:p>
          <w:p>
            <w:pPr/>
            <w:r>
              <w:rPr/>
              <w:t xml:space="preserve">Sockelleiste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KP-4</w:t>
            </w:r>
          </w:p>
        </w:tc>
        <w:tc>
          <w:tcPr>
            <w:noWrap/>
          </w:tcPr>
          <w:p>
            <w:pPr/>
            <w:r>
              <w:rPr/>
              <w:t xml:space="preserve">Gang
</w:t>
            </w:r>
          </w:p>
          <w:p>
            <w:pPr/>
            <w:r>
              <w:rPr/>
              <w:t xml:space="preserve">OG
</w:t>
            </w:r>
          </w:p>
          <w:p>
            <w:pPr/>
            <w:r>
              <w:rPr/>
              <w:t xml:space="preserve">Tisch
</w:t>
            </w:r>
          </w:p>
        </w:tc>
        <w:tc>
          <w:tcPr>
            <w:noWrap/>
          </w:tcPr>
          <w:p>
            <w:pPr/>
            <w:r>
              <w:rPr/>
              <w:t xml:space="preserve">VM-1
</w:t>
            </w:r>
          </w:p>
          <w:p>
            <w:pPr/>
            <w:r>
              <w:rPr/>
              <w:t xml:space="preserve">Staub
</w:t>
            </w:r>
          </w:p>
          <w:p>
            <w:pPr/>
            <w:r>
              <w:rPr/>
              <w:t xml:space="preserve">Tisch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Küche
</w:t>
            </w:r>
          </w:p>
          <w:p>
            <w:pPr/>
            <w:r>
              <w:rPr/>
              <w:t xml:space="preserve">2. OG
</w:t>
            </w:r>
          </w:p>
          <w:p>
            <w:pPr/>
            <w:r>
              <w:rPr/>
              <w:t xml:space="preserve">Deckenlampe
</w:t>
            </w:r>
          </w:p>
        </w:tc>
        <w:tc>
          <w:tcPr>
            <w:noWrap/>
          </w:tcPr>
          <w:p>
            <w:pPr/>
            <w:r>
              <w:rPr/>
              <w:t xml:space="preserve">VM-5
</w:t>
            </w:r>
          </w:p>
          <w:p>
            <w:pPr/>
            <w:r>
              <w:rPr/>
              <w:t xml:space="preserve">Asbestfasern
</w:t>
            </w:r>
          </w:p>
          <w:p>
            <w:pPr/>
            <w:r>
              <w:rPr/>
              <w:t xml:space="preserve">Deckenlampe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Wohnzimmer
</w:t>
            </w:r>
          </w:p>
          <w:p>
            <w:pPr/>
            <w:r>
              <w:rPr/>
              <w:t xml:space="preserve">2. OG
</w:t>
            </w:r>
          </w:p>
          <w:p>
            <w:pPr/>
            <w:r>
              <w:rPr/>
              <w:t xml:space="preserve">Deckenlampe
</w:t>
            </w:r>
          </w:p>
        </w:tc>
        <w:tc>
          <w:tcPr>
            <w:noWrap/>
          </w:tcPr>
          <w:p>
            <w:pPr/>
            <w:r>
              <w:rPr/>
              <w:t xml:space="preserve">VM-6
</w:t>
            </w:r>
          </w:p>
          <w:p>
            <w:pPr/>
            <w:r>
              <w:rPr/>
              <w:t xml:space="preserve">Asbestfasern
</w:t>
            </w:r>
          </w:p>
          <w:p>
            <w:pPr/>
            <w:r>
              <w:rPr/>
              <w:t xml:space="preserve">Deckenlampe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