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Flubastrasse 18, 8898 Flumserberg</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2403</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305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Sebastian Hamberger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Flubastrasse 18, 8898 Flumserberg Tannenbodenalp</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Sebastian Hamberger</w:t>
            </w:r>
            <w:bookmarkEnd w:id="12"/>
            <w:r w:rsidRPr="00FF365E">
              <w:rPr>
                <w:sz w:val="24"/>
                <w:szCs w:val="24"/>
                <w:lang w:val="en-GB"/>
              </w:rPr>
              <w:t xml:space="preserve"> </w:t>
            </w:r>
            <w:bookmarkStart w:id="13" w:name="OLE_LINK13"/>
            <w:r w:rsidRPr="00FF365E">
              <w:rPr>
                <w:sz w:val="24"/>
                <w:szCs w:val="24"/>
                <w:lang w:val="en-GB"/>
              </w:rPr>
              <w:t xml:space="preserve">Flubastrasse 18, 8898 Flumserberg Tannenbodenalp</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21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Probe-ID Map 17 kann durch instruierte Handwerker unter Einhaltung der Richtlinien 33031 rückgebaut werden und ist mit dem LVA-Code 17 06 98NK in einer Deponie Typ B zu entsorgen. Diese Massnahme betrifft eine Menge von geschätzten 15 Quadratmetern.</w:t>
      </w:r>
      <w:br/>
      <w:r>
        <w:rPr/>
        <w:t xml:space="preserve"/>
      </w:r>
      <w:br/>
      <w:r>
        <w:rPr/>
        <w:t xml:space="preserve">Fliesenkleber aus Probe-ID SC 2 muss durch Schadstoffsanierer entfernt werden. Für den Rückbau gelten die Richtlinien 23024, und das Material ist mit dem LVA-Code 17 03 21S zu kennzeichnen.</w:t>
      </w:r>
      <w:br/>
      <w:r>
        <w:rPr/>
        <w:t xml:space="preserve"/>
      </w:r>
      <w:br/>
      <w:r>
        <w:rPr/>
        <w:t xml:space="preserve">Künstliche Mineralfasern mit der Probe-ID KM 5 werden durch Schadstoffsanierer entfernt, gemäss den Vorgaben der Richtlinien 34041. Diese Abfälle sind als LVA-Code 17 06 01KM zu klassifizieren.</w:t>
      </w:r>
      <w:br/>
      <w:r>
        <w:rPr/>
        <w:t xml:space="preserve"/>
      </w:r>
      <w:br/>
      <w:r>
        <w:rPr/>
        <w:t xml:space="preserve">Holzwerkstoffplatte unter der Probe-ID HW 10 kann durch instruierte Handwerker saniert werden, wobei die Richtlinien 11018 zu befolgen sind. Das Material ist in der Deponie mit dem LVA-Code 17 02 10HW zu entsorgen.</w:t>
      </w:r>
      <w:br/>
      <w:r>
        <w:rPr/>
        <w:t xml:space="preserve"/>
      </w:r>
      <w:br/>
      <w:r>
        <w:rPr/>
        <w:t xml:space="preserve">Die Entfernung von PVC aus Probe-ID PVC 22 erfordert die Expertise von Schadstoffsanierern, wobei die Richtlinien 45019 zu beachten sind. Das Material wird mit dem LVA-Code 17 02 03PVC abtransportiert und entsorgt.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OG
</w:t>
            </w:r>
          </w:p>
          <w:p>
            <w:pPr/>
            <w:r>
              <w:rPr/>
              <w:t xml:space="preserve">Wand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MaP-2</w:t>
            </w:r>
          </w:p>
        </w:tc>
        <w:tc>
          <w:tcPr>
            <w:noWrap/>
          </w:tcPr>
          <w:p>
            <w:pPr/>
            <w:r>
              <w:rPr/>
              <w:t xml:space="preserve">Bad
</w:t>
            </w:r>
          </w:p>
          <w:p>
            <w:pPr/>
            <w:r>
              <w:rPr/>
              <w:t xml:space="preserve">OG
</w:t>
            </w:r>
          </w:p>
          <w:p>
            <w:pPr/>
            <w:r>
              <w:rPr/>
              <w:t xml:space="preserve">Boden
</w:t>
            </w:r>
          </w:p>
        </w:tc>
        <w:tc>
          <w:tcPr>
            <w:noWrap/>
          </w:tcPr>
          <w:p>
            <w:pPr/>
            <w:r>
              <w:rPr/>
              <w:t xml:space="preserve">VM-2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MaP-3</w:t>
            </w:r>
          </w:p>
        </w:tc>
        <w:tc>
          <w:tcPr>
            <w:noWrap/>
          </w:tcPr>
          <w:p>
            <w:pPr/>
            <w:r>
              <w:rPr/>
              <w:t xml:space="preserve">Dach
</w:t>
            </w:r>
          </w:p>
          <w:p>
            <w:pPr/>
            <w:r>
              <w:rPr/>
              <w:t xml:space="preserve">DG
</w:t>
            </w:r>
          </w:p>
          <w:p>
            <w:pPr/>
            <w:r>
              <w:rPr/>
              <w:t xml:space="preserve">Dach
</w:t>
            </w:r>
          </w:p>
        </w:tc>
        <w:tc>
          <w:tcPr>
            <w:noWrap/>
          </w:tcPr>
          <w:p>
            <w:pPr/>
            <w:r>
              <w:rPr/>
              <w:t xml:space="preserve">VM-3
</w:t>
            </w:r>
          </w:p>
          <w:p>
            <w:pPr/>
            <w:r>
              <w:rPr/>
              <w:t xml:space="preserve">Faserzement
</w:t>
            </w:r>
          </w:p>
          <w:p>
            <w:pPr/>
            <w:r>
              <w:rPr/>
              <w:t xml:space="preserve">Dach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r>
        <w:trPr/>
        <w:tc>
          <w:tcPr>
            <w:shd w:val="clear"/>
            <w:noWrap/>
          </w:tcPr>
          <w:p>
            <w:pPr/>
            <w:r>
              <w:rPr/>
              <w:t xml:space="preserve">MaP-4</w:t>
            </w:r>
          </w:p>
        </w:tc>
        <w:tc>
          <w:tcPr>
            <w:noWrap/>
          </w:tcPr>
          <w:p>
            <w:pPr/>
            <w:r>
              <w:rPr/>
              <w:t xml:space="preserve">Heizraum
</w:t>
            </w:r>
          </w:p>
          <w:p>
            <w:pPr/>
            <w:r>
              <w:rPr/>
              <w:t xml:space="preserve">UG
</w:t>
            </w:r>
          </w:p>
          <w:p>
            <w:pPr/>
            <w:r>
              <w:rPr/>
              <w:t xml:space="preserve">Wand
</w:t>
            </w:r>
          </w:p>
        </w:tc>
        <w:tc>
          <w:tcPr>
            <w:noWrap/>
          </w:tcPr>
          <w:p>
            <w:pPr/>
            <w:r>
              <w:rPr/>
              <w:t xml:space="preserve">VM-4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4" o:title=""/>
                </v:shape>
              </w:pict>
              <w:t xml:space="preserve"/>
            </w:r>
          </w:p>
        </w:tc>
        <w:tc>
          <w:tcPr>
            <w:noWrap/>
          </w:tcPr>
          <w:p>
            <w:pPr/>
            <w:r>
              <w:rPr/>
              <w:t xml:space="preserve"/>
              <w:pict>
                <v:shape type="#_x0000_t75" style="width:100px;height:150px" stroked="f" filled="f">
                  <v:imagedata r:id="rId25"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