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Grabserberg Bruggbach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1579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Max Plüss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Baumschulweg 6, 6045 Meggen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Max Plüss</w:t>
            </w:r>
            <w:bookmarkEnd w:id="12"/>
            <w:r w:rsidRPr="00FF365E">
              <w:rPr>
                <w:sz w:val="24"/>
                <w:szCs w:val="24"/>
                <w:lang w:val="en-GB"/>
              </w:rPr>
              <w:t xml:space="preserve"> </w:t>
            </w:r>
            <w:bookmarkStart w:id="13" w:name="OLE_LINK13"/>
            <w:r w:rsidRPr="00FF365E">
              <w:rPr>
                <w:sz w:val="24"/>
                <w:szCs w:val="24"/>
                <w:lang w:val="en-GB"/>
              </w:rPr>
              <w:t xml:space="preserve">Baumschulweg 6, 6045 Meggen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1. Faserzement aus Map 17 kann durch instruierte Handwerker unter Einhaltung der Richtlinien 33031 rückgebaut werden und ist mit dem LVA Code 17 06 98nk in einer Deponie Typ B zu entsorgen. Für kunststoffhaltigen Bitumenkleber steht derselbe LVA Code zur Verfügung, und die Arbeit ist ebenfalls unter den Richtlinien 33031 zu erledigen.</w:t>
      </w:r>
      <w:br/>
      <w:r>
        <w:rPr/>
        <w:t xml:space="preserve"/>
      </w:r>
      <w:br/>
      <w:r>
        <w:rPr/>
        <w:t xml:space="preserve">2. Künstliche Mineralfasern aus Map 18 erfordern professionelle Schadstoffsanierung gemäss den Richtlinien 123/3/98 und werden unter dem LVA Code 17 06 03n entsorgt. Die Fliesenklebersubstanz aus dem gleichen Map benötigt ebenfalls eine spezialisierte Sanierung unter denselben Richtlinien und hat den LVA Code 17 06 05nk.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EG
</w:t>
            </w:r>
          </w:p>
          <w:p>
            <w:pPr/>
            <w:r>
              <w:rPr/>
              <w:t xml:space="preserve">Boden / Wand
</w:t>
            </w:r>
          </w:p>
        </w:tc>
        <w:tc>
          <w:tcPr>
            <w:noWrap/>
          </w:tcPr>
          <w:p>
            <w:pPr/>
            <w:r>
              <w:rPr/>
              <w:t xml:space="preserve">VM-1
</w:t>
            </w:r>
          </w:p>
          <w:p>
            <w:pPr/>
            <w:r>
              <w:rPr/>
              <w:t xml:space="preserve">(elastische) Bodenbeläge
</w:t>
            </w:r>
          </w:p>
          <w:p>
            <w:pPr/>
            <w:r>
              <w:rPr/>
              <w:t xml:space="preserve">Boden / 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