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Elestastrasse 1, 7310 Bad Ragaz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1198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Fogging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Jovica Granula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Elestastrasse 1, 7310 Bad Ragaz</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Jovica Granula</w:t>
            </w:r>
            <w:bookmarkEnd w:id="12"/>
            <w:r w:rsidRPr="00FF365E">
              <w:rPr>
                <w:sz w:val="24"/>
                <w:szCs w:val="24"/>
                <w:lang w:val="en-GB"/>
              </w:rPr>
              <w:t xml:space="preserve"> </w:t>
            </w:r>
            <w:bookmarkStart w:id="13" w:name="OLE_LINK13"/>
            <w:r w:rsidRPr="00FF365E">
              <w:rPr>
                <w:sz w:val="24"/>
                <w:szCs w:val="24"/>
                <w:lang w:val="en-GB"/>
              </w:rPr>
              <w:t xml:space="preserve">Elestastrasse 1, 7310 Bad Ragaz</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Garage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w:t>
            </w:r>
          </w:p>
        </w:tc>
        <w:tc>
          <w:tcPr>
            <w:noWrap/>
          </w:tcPr>
          <w:p>
            <w:pPr/>
            <w:r>
              <w:rPr/>
              <w:t xml:space="preserve">Lager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Gesammte Halle
</w:t>
            </w:r>
          </w:p>
          <w:p>
            <w:pPr/>
            <w:r>
              <w:rPr/>
              <w:t xml:space="preserve">EG- DG
</w:t>
            </w:r>
          </w:p>
          <w:p>
            <w:pPr/>
            <w:r>
              <w:rPr/>
              <w:t xml:space="preserve">Wand / Decke
</w:t>
            </w:r>
          </w:p>
        </w:tc>
        <w:tc>
          <w:tcPr>
            <w:noWrap/>
          </w:tcPr>
          <w:p>
            <w:pPr/>
            <w:r>
              <w:rPr/>
              <w:t xml:space="preserve">Balken</w:t>
            </w:r>
          </w:p>
        </w:tc>
        <w:tc>
          <w:tcPr>
            <w:noWrap/>
          </w:tcPr>
          <w:p>
            <w:pPr/>
            <w:r>
              <w:rPr/>
              <w:t xml:space="preserve">Holzschutzmittel</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der Probe MaP-1 kann durch instruierte Handwerker unter Einhaltung der Richtlinien 33031 rückgebaut werden und ist mit dem LVA-Code 17 06 98 nk in einer Deponie vom Typ B zu entsorgen. Ebenso kann Faserzement aus der Probe MaP-2 von instruierte Handwerker unter denselben Richtlinien rückgebaut und mit dem gleichen LVA-Code in derselben Deponie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Garage
</w:t>
            </w:r>
          </w:p>
          <w:p>
            <w:pPr/>
            <w:r>
              <w:rPr/>
              <w:t xml:space="preserve">DG
</w:t>
            </w:r>
          </w:p>
          <w:p>
            <w:pPr/>
            <w:r>
              <w:rPr/>
              <w:t xml:space="preserve">Dach
</w:t>
            </w:r>
          </w:p>
        </w:tc>
        <w:tc>
          <w:tcPr>
            <w:noWrap/>
          </w:tcPr>
          <w:p>
            <w:pPr/>
            <w:r>
              <w:rPr/>
              <w:t xml:space="preserve">VM-2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Lager
</w:t>
            </w:r>
          </w:p>
          <w:p>
            <w:pPr/>
            <w:r>
              <w:rPr/>
              <w:t xml:space="preserve">DG
</w:t>
            </w:r>
          </w:p>
          <w:p>
            <w:pPr/>
            <w:r>
              <w:rPr/>
              <w:t xml:space="preserve">Dach
</w:t>
            </w:r>
          </w:p>
        </w:tc>
        <w:tc>
          <w:tcPr>
            <w:noWrap/>
          </w:tcPr>
          <w:p>
            <w:pPr/>
            <w:r>
              <w:rPr/>
              <w:t xml:space="preserve">VM-1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VB-1</w:t>
            </w:r>
          </w:p>
        </w:tc>
        <w:tc>
          <w:tcPr>
            <w:noWrap/>
          </w:tcPr>
          <w:p>
            <w:pPr/>
            <w:r>
              <w:rPr/>
              <w:t xml:space="preserve">Gesammte Halle
</w:t>
            </w:r>
          </w:p>
          <w:p>
            <w:pPr/>
            <w:r>
              <w:rPr/>
              <w:t xml:space="preserve">EG- DG
</w:t>
            </w:r>
          </w:p>
          <w:p>
            <w:pPr/>
            <w:r>
              <w:rPr/>
              <w:t xml:space="preserve">Wand / Decke
</w:t>
            </w:r>
          </w:p>
        </w:tc>
        <w:tc>
          <w:tcPr>
            <w:noWrap/>
          </w:tcPr>
          <w:p>
            <w:pPr/>
            <w:r>
              <w:rPr/>
              <w:t xml:space="preserve">VM-3
</w:t>
            </w:r>
          </w:p>
          <w:p>
            <w:pPr/>
            <w:r>
              <w:rPr/>
              <w:t xml:space="preserve">Holzschutzmittel
</w:t>
            </w:r>
          </w:p>
          <w:p>
            <w:pPr/>
            <w:r>
              <w:rPr/>
              <w:t xml:space="preserve">Balken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