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Giessereistrasse 12 4703 Kestenholz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1500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256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Hauskauf</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Herr Gerber </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Giessereistrasse 12 4703 Kestenholz</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Herr Gerber </w:t>
            </w:r>
            <w:bookmarkEnd w:id="12"/>
            <w:r w:rsidRPr="00FF365E">
              <w:rPr>
                <w:sz w:val="24"/>
                <w:szCs w:val="24"/>
                <w:lang w:val="en-GB"/>
              </w:rPr>
              <w:t xml:space="preserve"> </w:t>
            </w:r>
            <w:bookmarkStart w:id="13" w:name="OLE_LINK13"/>
            <w:r w:rsidRPr="00FF365E">
              <w:rPr>
                <w:sz w:val="24"/>
                <w:szCs w:val="24"/>
                <w:lang w:val="en-GB"/>
              </w:rPr>
              <w:t xml:space="preserve">Giessereistrasse 12 4703 Kestenholz</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07.05.2025 08:09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 Material: Polystyrol</w:t>
      </w:r>
      <w:br/>
      <w:r>
        <w:rPr/>
        <w:t xml:space="preserve"/>
      </w:r>
      <w:br/>
      <w:r>
        <w:rPr>
          <w:b w:val="1"/>
          <w:bCs w:val="1"/>
        </w:rPr>
        <w:t xml:space="preserve"/>
      </w:r>
      <w:r>
        <w:rPr>
          <w:b w:val="1"/>
          <w:bCs w:val="1"/>
        </w:rPr>
        <w:t xml:space="preserve">Vorkommen:</w:t>
      </w:r>
      <w:r>
        <w:rPr/>
        <w:t xml:space="preserve"> Polystyrol der Probebezeichnung MAP 25 ist im Gebäude bei Ebene 3, Raum 5, im Einbauort Wand zu finden. Es steht unter dem Verdacht, phosphorhaltige Flammschutzmittel zu enthalten und wurde für Laboranalysen eingeplant.</w:t>
      </w:r>
      <w:br/>
      <w:r>
        <w:rPr/>
        <w:t xml:space="preserve"/>
      </w:r>
      <w:br/>
      <w:r>
        <w:rPr>
          <w:b w:val="1"/>
          <w:bCs w:val="1"/>
        </w:rPr>
        <w:t xml:space="preserve"/>
      </w:r>
      <w:r>
        <w:rPr>
          <w:b w:val="1"/>
          <w:bCs w:val="1"/>
        </w:rPr>
        <w:t xml:space="preserve">Sanierung:</w:t>
      </w:r>
      <w:r>
        <w:rPr/>
        <w:t xml:space="preserve"> Polystyrol aus MAP 25 kann durch Schadstoffsanierer bei Einhaltung der Richtlinien 65312 entfernt werden und soll mit dem LVA Code 17 06 04 in einer geeigneten Deponie entsorgt werden.</w:t>
      </w:r>
      <w:br/>
      <w:r>
        <w:rPr/>
        <w:t xml:space="preserve"/>
      </w:r>
      <w:br/>
      <w:r>
        <w:rPr/>
        <w:t xml:space="preserve">### Material: Faserzement</w:t>
      </w:r>
      <w:br/>
      <w:r>
        <w:rPr/>
        <w:t xml:space="preserve"/>
      </w:r>
      <w:br/>
      <w:r>
        <w:rPr>
          <w:b w:val="1"/>
          <w:bCs w:val="1"/>
        </w:rPr>
        <w:t xml:space="preserve"/>
      </w:r>
      <w:r>
        <w:rPr>
          <w:b w:val="1"/>
          <w:bCs w:val="1"/>
        </w:rPr>
        <w:t xml:space="preserve">Vorkommen:</w:t>
      </w:r>
      <w:r>
        <w:rPr/>
        <w:t xml:space="preserve"> Faserzement der Probebezeichnung MAP 17 befindet sich im Gebäude auf Ebene 1, Raum 2, beim Einbauort Decke. Es ist mit Asbest belastet, was durch Laboranalysen bestätigt wurde.</w:t>
      </w:r>
      <w:br/>
      <w:r>
        <w:rPr/>
        <w:t xml:space="preserve"/>
      </w:r>
      <w:br/>
      <w:r>
        <w:rPr>
          <w:b w:val="1"/>
          <w:bCs w:val="1"/>
        </w:rPr>
        <w:t xml:space="preserve"/>
      </w:r>
      <w:r>
        <w:rPr>
          <w:b w:val="1"/>
          <w:bCs w:val="1"/>
        </w:rPr>
        <w:t xml:space="preserve">Sanierung:</w:t>
      </w:r>
      <w:r>
        <w:rPr/>
        <w:t xml:space="preserve"> Faserzement aus MAP 17 kann durch instruierte Handwerker unter Einhaltung der Richtlinien 33031 rückgebaut werden und ist mit dem LVA Code 17 06 98nk in einer Deponie Typ B zu entsorgen.</w:t>
      </w:r>
      <w:br/>
      <w:r>
        <w:rPr/>
        <w:t xml:space="preserve"/>
      </w:r>
      <w:br/>
      <w:r>
        <w:rPr/>
        <w:t xml:space="preserve">### Material: Ausbauasphalt</w:t>
      </w:r>
      <w:br/>
      <w:r>
        <w:rPr/>
        <w:t xml:space="preserve"/>
      </w:r>
      <w:br/>
      <w:r>
        <w:rPr>
          <w:b w:val="1"/>
          <w:bCs w:val="1"/>
        </w:rPr>
        <w:t xml:space="preserve"/>
      </w:r>
      <w:r>
        <w:rPr>
          <w:b w:val="1"/>
          <w:bCs w:val="1"/>
        </w:rPr>
        <w:t xml:space="preserve">Vorkommen:</w:t>
      </w:r>
      <w:r>
        <w:rPr/>
        <w:t xml:space="preserve"> Ausbauasphalt der Probebezeichnung MAP 12 ist in Gebäude Ebene 0, Raum - Parkplatz vorzufinden. Der Verdacht besteht, dass es polyzyklische aromatische Kohlenwasserstoffe (PAK) enthält, was durch Laboranalysen nachgewiesen wurde.</w:t>
      </w:r>
      <w:br/>
      <w:r>
        <w:rPr/>
        <w:t xml:space="preserve"/>
      </w:r>
      <w:br/>
      <w:r>
        <w:rPr>
          <w:b w:val="1"/>
          <w:bCs w:val="1"/>
        </w:rPr>
        <w:t xml:space="preserve"/>
      </w:r>
      <w:r>
        <w:rPr>
          <w:b w:val="1"/>
          <w:bCs w:val="1"/>
        </w:rPr>
        <w:t xml:space="preserve">Sanierung:</w:t>
      </w:r>
      <w:r>
        <w:rPr/>
        <w:t xml:space="preserve"> Ausbauasphalt aus MAP 12 muss durch Schadstoffsanierer unter Beachtung der Richtlinien 654321 entfernt werden und ist mit dem LVA Code 17 03 02ab in einer speziell dafür vorgesehenen Deponie zu entsorgen.</w:t>
      </w:r>
      <w:br/>
      <w:r>
        <w:rPr/>
        <w:t xml:space="preserve"/>
      </w:r>
      <w:br/>
      <w:r>
        <w:rPr/>
        <w:t xml:space="preserve">### Material: KMF (Künstliche Mineralfasern)</w:t>
      </w:r>
      <w:br/>
      <w:r>
        <w:rPr/>
        <w:t xml:space="preserve"/>
      </w:r>
      <w:br/>
      <w:r>
        <w:rPr>
          <w:b w:val="1"/>
          <w:bCs w:val="1"/>
        </w:rPr>
        <w:t xml:space="preserve"/>
      </w:r>
      <w:r>
        <w:rPr>
          <w:b w:val="1"/>
          <w:bCs w:val="1"/>
        </w:rPr>
        <w:t xml:space="preserve">Vorkommen:</w:t>
      </w:r>
      <w:r>
        <w:rPr/>
        <w:t xml:space="preserve"> KMF der Probebezeichnung MAP 33 befinden sich in Gebäude Ebene 2, Raum 12, Einbauort Dachdämmung. Es steht der Verdacht auf Asbesthaltigkeit im Raum, der durch Laboruntersuchungen zu prüfen ist.</w:t>
      </w:r>
      <w:br/>
      <w:r>
        <w:rPr/>
        <w:t xml:space="preserve"/>
      </w:r>
      <w:br/>
      <w:r>
        <w:rPr>
          <w:b w:val="1"/>
          <w:bCs w:val="1"/>
        </w:rPr>
        <w:t xml:space="preserve"/>
      </w:r>
      <w:r>
        <w:rPr>
          <w:b w:val="1"/>
          <w:bCs w:val="1"/>
        </w:rPr>
        <w:t xml:space="preserve">Sanierung:</w:t>
      </w:r>
      <w:r>
        <w:rPr/>
        <w:t xml:space="preserve"> KMF aus MAP 33 kann durch instruierte Handwerker unter Berücksichtigung der Richtlinien 43120 abgebaut werden und ist mit dem LVA Code 17 06 89km in einer Fachdeponie Typ E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Musikzimmer
</w:t>
            </w:r>
          </w:p>
          <w:p>
            <w:pPr/>
            <w:r>
              <w:rPr/>
              <w:t xml:space="preserve">UG
</w:t>
            </w:r>
          </w:p>
          <w:p>
            <w:pPr/>
            <w:r>
              <w:rPr/>
              <w:t xml:space="preserve">Boden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Musikzimmer
</w:t>
            </w:r>
          </w:p>
          <w:p>
            <w:pPr/>
            <w:r>
              <w:rPr/>
              <w:t xml:space="preserve">UG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Musikzimmer
</w:t>
            </w:r>
          </w:p>
          <w:p>
            <w:pPr/>
            <w:r>
              <w:rPr/>
              <w:t xml:space="preserve">UG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Garage
</w:t>
            </w:r>
          </w:p>
          <w:p>
            <w:pPr/>
            <w:r>
              <w:rPr/>
              <w:t xml:space="preserve">UG
</w:t>
            </w:r>
          </w:p>
          <w:p>
            <w:pPr/>
            <w:r>
              <w:rPr/>
              <w:t xml:space="preserve">Decke
</w:t>
            </w:r>
          </w:p>
        </w:tc>
        <w:tc>
          <w:tcPr>
            <w:noWrap/>
          </w:tcPr>
          <w:p>
            <w:pPr/>
            <w:r>
              <w:rPr/>
              <w:t xml:space="preserve">VM-4
</w:t>
            </w:r>
          </w:p>
          <w:p>
            <w:pPr/>
            <w:r>
              <w:rPr/>
              <w:t xml:space="preserve">Leichtbauplatte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Küche
</w:t>
            </w:r>
          </w:p>
          <w:p>
            <w:pPr/>
            <w:r>
              <w:rPr/>
              <w:t xml:space="preserve">UG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Küche/ Gang / Wohnzimmer
</w:t>
            </w:r>
          </w:p>
          <w:p>
            <w:pPr/>
            <w:r>
              <w:rPr/>
              <w:t xml:space="preserve">UG
</w:t>
            </w:r>
          </w:p>
          <w:p>
            <w:pPr/>
            <w:r>
              <w:rPr/>
              <w:t xml:space="preserve">Boden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Gang / Wohnzimmer
</w:t>
            </w:r>
          </w:p>
          <w:p>
            <w:pPr/>
            <w:r>
              <w:rPr/>
              <w:t xml:space="preserve">UG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Dusche
</w:t>
            </w:r>
          </w:p>
          <w:p>
            <w:pPr/>
            <w:r>
              <w:rPr/>
              <w:t xml:space="preserve">UG
</w:t>
            </w:r>
          </w:p>
          <w:p>
            <w:pPr/>
            <w:r>
              <w:rPr/>
              <w:t xml:space="preserve">Boden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Dusche
</w:t>
            </w:r>
          </w:p>
          <w:p>
            <w:pPr/>
            <w:r>
              <w:rPr/>
              <w:t xml:space="preserve">UG
</w:t>
            </w:r>
          </w:p>
          <w:p>
            <w:pPr/>
            <w:r>
              <w:rPr/>
              <w:t xml:space="preserve">Wand
</w:t>
            </w:r>
          </w:p>
        </w:tc>
        <w:tc>
          <w:tcPr>
            <w:noWrap/>
          </w:tcPr>
          <w:p>
            <w:pPr/>
            <w:r>
              <w:rPr/>
              <w:t xml:space="preserve">VM-9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Schlafzimmer
</w:t>
            </w:r>
          </w:p>
          <w:p>
            <w:pPr/>
            <w:r>
              <w:rPr/>
              <w:t xml:space="preserve">UG
</w:t>
            </w:r>
          </w:p>
          <w:p>
            <w:pPr/>
            <w:r>
              <w:rPr/>
              <w:t xml:space="preserve">Wand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p>
            <w:pPr/>
            <w:r>
              <w:rPr/>
              <w:t xml:space="preserve">Boden
</w:t>
            </w:r>
          </w:p>
        </w:tc>
        <w:tc>
          <w:tcPr>
            <w:noWrap/>
          </w:tcPr>
          <w:p>
            <w:pPr/>
            <w:r>
              <w:rPr/>
              <w:t xml:space="preserve">VM-11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Gang / Treppenhaus
</w:t>
            </w:r>
          </w:p>
          <w:p>
            <w:pPr/>
            <w:r>
              <w:rPr/>
              <w:t xml:space="preserve">EG - OG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Gang / Treppenhaus
</w:t>
            </w:r>
          </w:p>
          <w:p>
            <w:pPr/>
            <w:r>
              <w:rPr/>
              <w:t xml:space="preserve">EG - OG
</w:t>
            </w:r>
          </w:p>
          <w:p>
            <w:pPr/>
            <w:r>
              <w:rPr/>
              <w:t xml:space="preserve">Decke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MaP-15</w:t>
            </w:r>
          </w:p>
        </w:tc>
        <w:tc>
          <w:tcPr>
            <w:noWrap/>
          </w:tcPr>
          <w:p>
            <w:pPr/>
            <w:r>
              <w:rPr/>
              <w:t xml:space="preserve">Schlafzimmer
</w:t>
            </w:r>
          </w:p>
          <w:p>
            <w:pPr/>
            <w:r>
              <w:rPr/>
              <w:t xml:space="preserve">OG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MaP-16</w:t>
            </w:r>
          </w:p>
        </w:tc>
        <w:tc>
          <w:tcPr>
            <w:noWrap/>
          </w:tcPr>
          <w:p>
            <w:pPr/>
            <w:r>
              <w:rPr/>
              <w:t xml:space="preserve">Schlafzimmer
</w:t>
            </w:r>
          </w:p>
          <w:p>
            <w:pPr/>
            <w:r>
              <w:rPr/>
              <w:t xml:space="preserve">OG
</w:t>
            </w:r>
          </w:p>
          <w:p>
            <w:pPr/>
            <w:r>
              <w:rPr/>
              <w:t xml:space="preserve">Boden
</w:t>
            </w:r>
          </w:p>
        </w:tc>
        <w:tc>
          <w:tcPr>
            <w:noWrap/>
          </w:tcPr>
          <w:p>
            <w:pPr/>
            <w:r>
              <w:rPr/>
              <w:t xml:space="preserve">VM-17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MaP-17</w:t>
            </w:r>
          </w:p>
        </w:tc>
        <w:tc>
          <w:tcPr>
            <w:noWrap/>
          </w:tcPr>
          <w:p>
            <w:pPr/>
            <w:r>
              <w:rPr/>
              <w:t xml:space="preserve">Waschküche
</w:t>
            </w:r>
          </w:p>
          <w:p>
            <w:pPr/>
            <w:r>
              <w:rPr/>
              <w:t xml:space="preserve">EG
</w:t>
            </w:r>
          </w:p>
          <w:p>
            <w:pPr/>
            <w:r>
              <w:rPr/>
              <w:t xml:space="preserve">Boden
</w:t>
            </w:r>
          </w:p>
        </w:tc>
        <w:tc>
          <w:tcPr>
            <w:noWrap/>
          </w:tcPr>
          <w:p>
            <w:pPr/>
            <w:r>
              <w:rPr/>
              <w:t xml:space="preserve">VM-18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MaP-18</w:t>
            </w:r>
          </w:p>
        </w:tc>
        <w:tc>
          <w:tcPr>
            <w:noWrap/>
          </w:tcPr>
          <w:p>
            <w:pPr/>
            <w:r>
              <w:rPr/>
              <w:t xml:space="preserve">WC Hundeschule
</w:t>
            </w:r>
          </w:p>
          <w:p>
            <w:pPr/>
            <w:r>
              <w:rPr/>
              <w:t xml:space="preserve">EG
</w:t>
            </w:r>
          </w:p>
          <w:p>
            <w:pPr/>
            <w:r>
              <w:rPr/>
              <w:t xml:space="preserve">Boden
</w:t>
            </w:r>
          </w:p>
        </w:tc>
        <w:tc>
          <w:tcPr>
            <w:noWrap/>
          </w:tcPr>
          <w:p>
            <w:pPr/>
            <w:r>
              <w:rPr/>
              <w:t xml:space="preserve">VM-21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MaP-19</w:t>
            </w:r>
          </w:p>
        </w:tc>
        <w:tc>
          <w:tcPr>
            <w:noWrap/>
          </w:tcPr>
          <w:p>
            <w:pPr/>
            <w:r>
              <w:rPr/>
              <w:t xml:space="preserve">Fassade
</w:t>
            </w:r>
          </w:p>
          <w:p>
            <w:pPr/>
            <w:r>
              <w:rPr/>
              <w:t xml:space="preserve">UG
</w:t>
            </w:r>
          </w:p>
          <w:p>
            <w:pPr/>
            <w:r>
              <w:rPr/>
              <w:t xml:space="preserve">Wand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Unterdach
</w:t>
            </w:r>
          </w:p>
        </w:tc>
        <w:tc>
          <w:tcPr>
            <w:noWrap/>
          </w:tcPr>
          <w:p>
            <w:pPr/>
            <w:r>
              <w:rPr/>
              <w:t xml:space="preserve">VM-15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VB-2</w:t>
            </w:r>
          </w:p>
        </w:tc>
        <w:tc>
          <w:tcPr>
            <w:noWrap/>
          </w:tcPr>
          <w:p>
            <w:pPr/>
            <w:r>
              <w:rPr/>
              <w:t xml:space="preserve">Stall
</w:t>
            </w:r>
          </w:p>
          <w:p>
            <w:pPr/>
            <w:r>
              <w:rPr/>
              <w:t xml:space="preserve">EG / OG
</w:t>
            </w:r>
          </w:p>
          <w:p>
            <w:pPr/>
            <w:r>
              <w:rPr/>
              <w:t xml:space="preserve">Decke / Wand
</w:t>
            </w:r>
          </w:p>
        </w:tc>
        <w:tc>
          <w:tcPr>
            <w:noWrap/>
          </w:tcPr>
          <w:p>
            <w:pPr/>
            <w:r>
              <w:rPr/>
              <w:t xml:space="preserve">VM-19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