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Hasenbühlweg 11, 9410 Heiden</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224</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Christoph Nadler</w:t>
            </w:r>
            <w:bookmarkEnd w:id="12"/>
            <w:r w:rsidRPr="00A53CA1">
              <w:rPr>
                <w:sz w:val="24"/>
                <w:szCs w:val="24"/>
                <w:lang w:val="en-GB"/>
              </w:rPr>
              <w:t xml:space="preserve"> </w:t>
            </w:r>
            <w:bookmarkStart w:id="13" w:name="OLE_LINK13"/>
            <w:r w:rsidRPr="00A53CA1">
              <w:rPr>
                <w:sz w:val="24"/>
                <w:szCs w:val="24"/>
                <w:lang w:val="en-GB"/>
              </w:rPr>
              <w:t>dler@bluewin.ch</w:t>
            </w:r>
            <w:bookmarkEnd w:id="13"/>
          </w:p>
          <w:p w14:paraId="13E892BD" w14:textId="77777777" w:rsidR="0047123B" w:rsidRDefault="0047123B" w:rsidP="004A1ED8">
            <w:pPr>
              <w:widowControl w:val="0"/>
              <w:spacing w:line="240" w:lineRule="auto"/>
              <w:rPr>
                <w:sz w:val="24"/>
                <w:szCs w:val="24"/>
              </w:rPr>
            </w:pPr>
            <w:r>
              <w:rPr>
                <w:sz w:val="24"/>
                <w:szCs w:val="24"/>
              </w:rPr>
              <w:t>chrigi.na=</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31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 Empfehlung für den Abschlussbericht</w:t>
      </w:r>
      <w:br/>
      <w:r>
        <w:rPr/>
        <w:t xml:space="preserve"/>
      </w:r>
      <w:br/>
      <w:r>
        <w:rPr>
          <w:b w:val="1"/>
          <w:bCs w:val="1"/>
        </w:rPr>
        <w:t xml:space="preserve">- </w:t>
      </w:r>
      <w:r>
        <w:rPr>
          <w:b w:val="1"/>
          <w:bCs w:val="1"/>
        </w:rPr>
        <w:t xml:space="preserve">Faserzement aus Map 17</w:t>
      </w:r>
      <w:r>
        <w:rPr/>
        <w:t xml:space="preserve">: Faserzement kann durch fachgerechte Sanierung von instruierten Handwerkern unter Beachtung der Richtlinien SIA 33031 sicher zurückgebaut werden. Entsorgung erfolgt in einer Deponie Typ B, klassifiziert mit dem LVA Code 17 06 98NK.</w:t>
      </w:r>
      <w:br/>
      <w:r>
        <w:rPr/>
        <w:t xml:space="preserve"/>
      </w:r>
      <w:br/>
      <w:r>
        <w:rPr>
          <w:b w:val="1"/>
          <w:bCs w:val="1"/>
        </w:rPr>
        <w:t xml:space="preserve">- </w:t>
      </w:r>
      <w:r>
        <w:rPr>
          <w:b w:val="1"/>
          <w:bCs w:val="1"/>
        </w:rPr>
        <w:t xml:space="preserve">Gips aus Bürogebäude</w:t>
      </w:r>
      <w:r>
        <w:rPr/>
        <w:t xml:space="preserve">: Der Gips sollte durch erfahrene Schadstoffsanierer ausgebrochen werden, um die Freisetzung von Schadstoffen zu vermeiden. Die sachgemässe Entsorgung ist mit dem LVA Code 17 08 02 in einer Inertstoffdeponie geregelt.</w:t>
      </w:r>
      <w:br/>
      <w:r>
        <w:rPr/>
        <w:t xml:space="preserve"/>
      </w:r>
      <w:br/>
      <w:r>
        <w:rPr>
          <w:b w:val="1"/>
          <w:bCs w:val="1"/>
        </w:rPr>
        <w:t xml:space="preserve">- </w:t>
      </w:r>
      <w:r>
        <w:rPr>
          <w:b w:val="1"/>
          <w:bCs w:val="1"/>
        </w:rPr>
        <w:t xml:space="preserve">Isoliermaterial aus Demontagefläche</w:t>
      </w:r>
      <w:r>
        <w:rPr/>
        <w:t xml:space="preserve">: Das Isoliermaterial enthält relevante Schadstoffe und muss von qualifizierten Sanierern unter strenger Einhaltung der Richtlinien nach ADR entnommen werden. Der Abfall ist dem LVA Code 17 06 03 zuzuordnen und in einer spezialisierten Deponie zu entsorgen.</w:t>
      </w:r>
      <w:br/>
      <w:r>
        <w:rPr/>
        <w:t xml:space="preserve"/>
      </w:r>
      <w:br/>
      <w:r>
        <w:rPr>
          <w:b w:val="1"/>
          <w:bCs w:val="1"/>
        </w:rPr>
        <w:t xml:space="preserve">- </w:t>
      </w:r>
      <w:r>
        <w:rPr>
          <w:b w:val="1"/>
          <w:bCs w:val="1"/>
        </w:rPr>
        <w:t xml:space="preserve">Holzmaterial aus Lagerräumen</w:t>
      </w:r>
      <w:r>
        <w:rPr/>
        <w:t xml:space="preserve">: Holzmaterialien, die möglicherweise Schadstoffe beinhalten, sollten unter Beachtung der Richtlinien beprobt und von geschultem Personal entsorgt werden. Geeignet ist eine Entsorgung in einer Deponie D mit dem LVA Code 19 12 06.</w:t>
      </w:r>
      <w:br/>
      <w:r>
        <w:rPr/>
        <w:t xml:space="preserve"/>
      </w:r>
      <w:br/>
      <w:r>
        <w:rPr>
          <w:b w:val="1"/>
          <w:bCs w:val="1"/>
        </w:rPr>
        <w:t xml:space="preserve">- </w:t>
      </w:r>
      <w:r>
        <w:rPr>
          <w:b w:val="1"/>
          <w:bCs w:val="1"/>
        </w:rPr>
        <w:t xml:space="preserve">Kleberreste in Produktionsbauten</w:t>
      </w:r>
      <w:r>
        <w:rPr/>
        <w:t xml:space="preserve">: Kleberreste sind bei einer Sanierung durch instruiertes Personal unter den SIA-Vorgaben zu entfernen. Entsorgt werden diese Stoffe gemäss LVA Code 08 04 10 in einer Deponie Typ E.</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EG
</w:t>
            </w:r>
          </w:p>
          <w:p>
            <w:pPr/>
            <w:r>
              <w:rPr/>
              <w:t xml:space="preserve">Decke
</w:t>
            </w:r>
          </w:p>
        </w:tc>
        <w:tc>
          <w:tcPr>
            <w:noWrap/>
          </w:tcPr>
          <w:p>
            <w:pPr/>
            <w:r>
              <w:rPr/>
              <w:t xml:space="preserve">VM-1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Bad
</w:t>
            </w:r>
          </w:p>
          <w:p>
            <w:pPr/>
            <w:r>
              <w:rPr/>
              <w:t xml:space="preserve">EG
</w:t>
            </w:r>
          </w:p>
          <w:p>
            <w:pPr/>
            <w:r>
              <w:rPr/>
              <w:t xml:space="preserve">Wand
</w:t>
            </w: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Bad
</w:t>
            </w:r>
          </w:p>
          <w:p>
            <w:pPr/>
            <w:r>
              <w:rPr/>
              <w:t xml:space="preserve">EG
</w:t>
            </w:r>
          </w:p>
          <w:p>
            <w:pPr/>
            <w:r>
              <w:rPr/>
              <w:t xml:space="preserve">Wand
</w:t>
            </w:r>
          </w:p>
        </w:tc>
        <w:tc>
          <w:tcPr>
            <w:noWrap/>
          </w:tcPr>
          <w:p>
            <w:pPr/>
            <w:r>
              <w:rPr/>
              <w:t xml:space="preserve">VM-2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Bad
</w:t>
            </w:r>
          </w:p>
          <w:p>
            <w:pPr/>
            <w:r>
              <w:rPr/>
              <w:t xml:space="preserve">EG
</w:t>
            </w:r>
          </w:p>
          <w:p>
            <w:pPr/>
            <w:r>
              <w:rPr/>
              <w:t xml:space="preserve">Boden
</w:t>
            </w:r>
          </w:p>
        </w:tc>
        <w:tc>
          <w:tcPr>
            <w:noWrap/>
          </w:tcPr>
          <w:p>
            <w:pPr/>
            <w:r>
              <w:rPr/>
              <w:t xml:space="preserve">VM-4
</w:t>
            </w:r>
          </w:p>
          <w:p>
            <w:pPr/>
            <w:r>
              <w:rPr/>
              <w:t xml:space="preserve">Plattenkleber
</w:t>
            </w:r>
          </w:p>
          <w:p>
            <w:pPr/>
            <w:r>
              <w:rPr/>
              <w:t xml:space="preserve">Boden / Sockel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MaP-5</w:t>
            </w:r>
          </w:p>
        </w:tc>
        <w:tc>
          <w:tcPr>
            <w:noWrap/>
          </w:tcPr>
          <w:p>
            <w:pPr/>
            <w:r>
              <w:rPr/>
              <w:t xml:space="preserve">Dusche
</w:t>
            </w:r>
          </w:p>
          <w:p>
            <w:pPr/>
            <w:r>
              <w:rPr/>
              <w:t xml:space="preserve">OG
</w:t>
            </w:r>
          </w:p>
          <w:p>
            <w:pPr/>
            <w:r>
              <w:rPr/>
              <w:t xml:space="preserve">Wand
</w:t>
            </w:r>
          </w:p>
        </w:tc>
        <w:tc>
          <w:tcPr>
            <w:noWrap/>
          </w:tcPr>
          <w:p>
            <w:pPr/>
            <w:r>
              <w:rPr/>
              <w:t xml:space="preserve">VM-5
</w:t>
            </w:r>
          </w:p>
          <w:p>
            <w:pPr/>
            <w:r>
              <w:rPr/>
              <w:t xml:space="preserve">Plattenkleber
</w:t>
            </w:r>
          </w:p>
          <w:p>
            <w:pPr/>
            <w:r>
              <w:rPr/>
              <w:t xml:space="preserve">Wand / Boden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