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Via da Scola 3, 7180 Disentis/Muster</w:t>
            </w:r>
            <w:bookmarkEnd w:id="1"/>
            <w:r w:rsidRPr="00A53CA1">
              <w:rPr>
                <w:sz w:val="24"/>
                <w:szCs w:val="24"/>
                <w:lang w:val="en-GB"/>
              </w:rPr>
              <w:br/>
            </w:r>
            <w:r w:rsidRPr="00A53CA1">
              <w:rPr>
                <w:sz w:val="24"/>
                <w:szCs w:val="24"/>
                <w:lang w:val="en-GB"/>
              </w:rPr>
              <w:br/>
              <w:t>128A</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209</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Gina Gadola</w:t>
            </w:r>
            <w:bookmarkEnd w:id="12"/>
            <w:r w:rsidRPr="00A53CA1">
              <w:rPr>
                <w:sz w:val="24"/>
                <w:szCs w:val="24"/>
                <w:lang w:val="en-GB"/>
              </w:rPr>
              <w:t xml:space="preserve"> </w:t>
            </w:r>
            <w:bookmarkStart w:id="13" w:name="OLE_LINK13"/>
            <w:r w:rsidRPr="00A53CA1">
              <w:rPr>
                <w:sz w:val="24"/>
                <w:szCs w:val="24"/>
                <w:lang w:val="en-GB"/>
              </w:rPr>
              <w:t/>
            </w:r>
            <w:bookmarkEnd w:id="13"/>
          </w:p>
          <w:p w14:paraId="13E892BD" w14:textId="77777777" w:rsidR="0047123B" w:rsidRDefault="0047123B" w:rsidP="004A1ED8">
            <w:pPr>
              <w:widowControl w:val="0"/>
              <w:spacing w:line="240" w:lineRule="auto"/>
              <w:rPr>
                <w:sz w:val="24"/>
                <w:szCs w:val="24"/>
              </w:rPr>
            </w:pPr>
            <w:r>
              <w:rPr>
                <w:sz w:val="24"/>
                <w:szCs w:val="24"/>
              </w:rPr>
              <w:t>Disgina_gadola@hotmail.com</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26 March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VB-2</w:t>
            </w:r>
          </w:p>
        </w:tc>
        <w:tc>
          <w:tcPr>
            <w:noWrap/>
          </w:tcPr>
          <w:p>
            <w:pPr/>
            <w:r>
              <w:rPr/>
              <w:t xml:space="preserve">Küche
</w:t>
            </w:r>
          </w:p>
          <w:p>
            <w:pPr/>
            <w:r>
              <w:rPr/>
              <w:t xml:space="preserve">2.OG
</w:t>
            </w:r>
          </w:p>
        </w:tc>
        <w:tc>
          <w:tcPr>
            <w:noWrap/>
          </w:tcPr>
          <w:p>
            <w:pPr/>
            <w:r>
              <w:rPr/>
              <w:t xml:space="preserve">Herd</w:t>
            </w:r>
          </w:p>
        </w:tc>
        <w:tc>
          <w:tcPr>
            <w:noWrap/>
          </w:tcPr>
          <w:p>
            <w:pPr/>
            <w:r>
              <w:rPr/>
              <w:t xml:space="preserve">Brandschutzplatte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VB-5</w:t>
            </w:r>
          </w:p>
        </w:tc>
        <w:tc>
          <w:tcPr>
            <w:noWrap/>
          </w:tcPr>
          <w:p>
            <w:pPr/>
            <w:r>
              <w:rPr/>
              <w:t xml:space="preserve">Balkon
</w:t>
            </w:r>
          </w:p>
          <w:p>
            <w:pPr/>
            <w:r>
              <w:rPr/>
              <w:t xml:space="preserve">2.OG
</w:t>
            </w:r>
          </w:p>
        </w:tc>
        <w:tc>
          <w:tcPr>
            <w:noWrap/>
          </w:tcPr>
          <w:p>
            <w:pPr/>
            <w:r>
              <w:rPr/>
              <w:t xml:space="preserve">Formteil</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Brandschutzplatte</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VB-5</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Die Brandschutzplatte aus der Küche im 2. OG, welche Asbest enthält, muss durch spezialisierte Schadstoffsanierer unter Einhaltung der Richtlinie 33036 fachgerecht entfernt werden und ist mit dem LVA Code 17 06 05 S zu entsorgen. Diese Massnahme gewährleistet den sicheren Umgang mit dem gefährlichen Material Asbest.</w:t>
      </w:r>
      <w:br/>
      <w:r>
        <w:rPr/>
        <w:t xml:space="preserve"/>
      </w:r>
      <w:br/>
      <w:r>
        <w:rPr/>
        <w:t xml:space="preserve">Faserzement vom Balkon im 2. OG kann von instruierten Handwerkern rückgebaut werden, vorausgesetzt sie befolgen die Richtlinie 33031. Dieses Material ist mit dem LVA Code 17 06 98 nk zu klassifizieren und in einer Deponie B zu entsorgen, um eine sichere Entsorgung zu gewährleisten.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Kinderzimmer
</w:t>
            </w:r>
          </w:p>
          <w:p>
            <w:pPr/>
            <w:r>
              <w:rPr/>
              <w:t xml:space="preserve">2.OG
</w:t>
            </w:r>
          </w:p>
        </w:tc>
        <w:tc>
          <w:tcPr>
            <w:noWrap/>
          </w:tcPr>
          <w:p>
            <w:pPr/>
            <w:r>
              <w:rPr/>
              <w:t xml:space="preserve">VM-2
</w:t>
            </w:r>
          </w:p>
          <w:p>
            <w:pPr/>
            <w:r>
              <w:rPr/>
              <w:t xml:space="preserve">Bodenbelag
</w:t>
            </w:r>
          </w:p>
          <w:p>
            <w:pPr/>
            <w:r>
              <w:rPr/>
              <w:t xml:space="preserve">2.Lage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MaP-3</w:t>
            </w:r>
          </w:p>
        </w:tc>
        <w:tc>
          <w:tcPr>
            <w:noWrap/>
          </w:tcPr>
          <w:p>
            <w:pPr/>
            <w:r>
              <w:rPr/>
              <w:t xml:space="preserve">Bad
</w:t>
            </w:r>
          </w:p>
          <w:p>
            <w:pPr/>
            <w:r>
              <w:rPr/>
              <w:t xml:space="preserve">2.OG
</w:t>
            </w:r>
          </w:p>
        </w:tc>
        <w:tc>
          <w:tcPr>
            <w:noWrap/>
          </w:tcPr>
          <w:p>
            <w:pPr/>
            <w:r>
              <w:rPr/>
              <w:t xml:space="preserve">VM-2
</w:t>
            </w:r>
          </w:p>
          <w:p>
            <w:pPr/>
            <w:r>
              <w:rPr/>
              <w:t xml:space="preserve">Bodenbelag
</w:t>
            </w:r>
          </w:p>
          <w:p>
            <w:pPr/>
            <w:r>
              <w:rPr/>
              <w:t xml:space="preserve">2.Lage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MaP-4</w:t>
            </w:r>
          </w:p>
        </w:tc>
        <w:tc>
          <w:tcPr>
            <w:noWrap/>
          </w:tcPr>
          <w:p/>
        </w:tc>
        <w:tc>
          <w:tcPr>
            <w:noWrap/>
          </w:tcPr>
          <w:p>
            <w:pPr/>
            <w:r>
              <w:rPr/>
              <w:t xml:space="preserve">VM-6
</w:t>
            </w:r>
          </w:p>
          <w:p>
            <w:pPr/>
            <w:r>
              <w:rPr/>
              <w:t xml:space="preserve">Bodenplatten mit Kleber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MaP-5</w:t>
            </w:r>
          </w:p>
        </w:tc>
        <w:tc>
          <w:tcPr>
            <w:noWrap/>
          </w:tcPr>
          <w:p>
            <w:pPr/>
            <w:r>
              <w:rPr/>
              <w:t xml:space="preserve">Bad
</w:t>
            </w:r>
          </w:p>
          <w:p>
            <w:pPr/>
            <w:r>
              <w:rPr/>
              <w:t xml:space="preserve">2.OG
</w:t>
            </w:r>
          </w:p>
        </w:tc>
        <w:tc>
          <w:tcPr>
            <w:noWrap/>
          </w:tcPr>
          <w:p>
            <w:pPr/>
            <w:r>
              <w:rPr/>
              <w:t xml:space="preserve">VM-7
</w:t>
            </w:r>
          </w:p>
          <w:p>
            <w:pPr/>
            <w:r>
              <w:rPr/>
              <w:t xml:space="preserve">Fliesenkleber
</w:t>
            </w:r>
          </w:p>
          <w:p>
            <w:pPr/>
            <w:r>
              <w:rPr/>
              <w:t xml:space="preserve">Wand
</w:t>
            </w:r>
          </w:p>
          <w:p>
            <w:pPr/>
            <w:r>
              <w:rPr/>
              <w:t xml:space="preserve">blau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MaP-6</w:t>
            </w:r>
          </w:p>
        </w:tc>
        <w:tc>
          <w:tcPr>
            <w:noWrap/>
          </w:tcPr>
          <w:p>
            <w:pPr/>
            <w:r>
              <w:rPr/>
              <w:t xml:space="preserve">Wohnzimmer
</w:t>
            </w:r>
          </w:p>
          <w:p>
            <w:pPr/>
            <w:r>
              <w:rPr/>
              <w:t xml:space="preserve">2.OG
</w:t>
            </w:r>
          </w:p>
        </w:tc>
        <w:tc>
          <w:tcPr>
            <w:noWrap/>
          </w:tcPr>
          <w:p>
            <w:pPr/>
            <w:r>
              <w:rPr/>
              <w:t xml:space="preserve">VM-8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MaP-7</w:t>
            </w:r>
          </w:p>
        </w:tc>
        <w:tc>
          <w:tcPr>
            <w:noWrap/>
          </w:tcPr>
          <w:p>
            <w:pPr/>
            <w:r>
              <w:rPr/>
              <w:t xml:space="preserve">Zimmer
</w:t>
            </w:r>
          </w:p>
          <w:p>
            <w:pPr/>
            <w:r>
              <w:rPr/>
              <w:t xml:space="preserve">2.OG
</w:t>
            </w:r>
          </w:p>
        </w:tc>
        <w:tc>
          <w:tcPr>
            <w:noWrap/>
          </w:tcPr>
          <w:p>
            <w:pPr/>
            <w:r>
              <w:rPr/>
              <w:t xml:space="preserve">VM-2
</w:t>
            </w:r>
          </w:p>
          <w:p>
            <w:pPr/>
            <w:r>
              <w:rPr/>
              <w:t xml:space="preserve">Bodenbelag
</w:t>
            </w:r>
          </w:p>
          <w:p>
            <w:pPr/>
            <w:r>
              <w:rPr/>
              <w:t xml:space="preserve">2.Lage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MaP-8</w:t>
            </w:r>
          </w:p>
        </w:tc>
        <w:tc>
          <w:tcPr>
            <w:noWrap/>
          </w:tcPr>
          <w:p>
            <w:pPr/>
            <w:r>
              <w:rPr/>
              <w:t xml:space="preserve">Wohnzimmer
</w:t>
            </w:r>
          </w:p>
          <w:p>
            <w:pPr/>
            <w:r>
              <w:rPr/>
              <w:t xml:space="preserve">2.OG
</w:t>
            </w:r>
          </w:p>
        </w:tc>
        <w:tc>
          <w:tcPr>
            <w:noWrap/>
          </w:tcPr>
          <w:p>
            <w:pPr/>
            <w:r>
              <w:rPr/>
              <w:t xml:space="preserve">VM-9
</w:t>
            </w:r>
          </w:p>
          <w:p>
            <w:pPr/>
            <w:r>
              <w:rPr/>
              <w:t xml:space="preserve">Verputz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MaP-9</w:t>
            </w:r>
          </w:p>
        </w:tc>
        <w:tc>
          <w:tcPr>
            <w:noWrap/>
          </w:tcPr>
          <w:p>
            <w:pPr/>
            <w:r>
              <w:rPr/>
              <w:t xml:space="preserve">Zimmer
</w:t>
            </w:r>
          </w:p>
          <w:p>
            <w:pPr/>
            <w:r>
              <w:rPr/>
              <w:t xml:space="preserve">2.OG
</w:t>
            </w:r>
          </w:p>
        </w:tc>
        <w:tc>
          <w:tcPr>
            <w:noWrap/>
          </w:tcPr>
          <w:p>
            <w:pPr/>
            <w:r>
              <w:rPr/>
              <w:t xml:space="preserve">VM-10
</w:t>
            </w:r>
          </w:p>
          <w:p>
            <w:pPr/>
            <w:r>
              <w:rPr/>
              <w:t xml:space="preserve">Nadelfilz Bodenbelag
</w:t>
            </w:r>
          </w:p>
          <w:p>
            <w:pPr/>
            <w:r>
              <w:rPr/>
              <w:t xml:space="preserve">Boden
</w:t>
            </w:r>
          </w:p>
          <w:p>
            <w:pPr/>
            <w:r>
              <w:rPr/>
              <w:t xml:space="preserve">gelb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MaP-10</w:t>
            </w:r>
          </w:p>
        </w:tc>
        <w:tc>
          <w:tcPr>
            <w:noWrap/>
          </w:tcPr>
          <w:p>
            <w:pPr/>
            <w:r>
              <w:rPr/>
              <w:t xml:space="preserve">Küche
</w:t>
            </w:r>
          </w:p>
          <w:p>
            <w:pPr/>
            <w:r>
              <w:rPr/>
              <w:t xml:space="preserve">2.OG
</w:t>
            </w:r>
          </w:p>
        </w:tc>
        <w:tc>
          <w:tcPr>
            <w:noWrap/>
          </w:tcPr>
          <w:p>
            <w:pPr/>
            <w:r>
              <w:rPr/>
              <w:t xml:space="preserve">VM-12
</w:t>
            </w:r>
          </w:p>
          <w:p>
            <w:pPr/>
            <w:r>
              <w:rPr/>
              <w:t xml:space="preserve">Fliesenkleber
</w:t>
            </w:r>
          </w:p>
          <w:p>
            <w:pPr/>
            <w:r>
              <w:rPr/>
              <w:t xml:space="preserve">Küchenrückwand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VB-1</w:t>
            </w:r>
          </w:p>
        </w:tc>
        <w:tc>
          <w:tcPr>
            <w:noWrap/>
          </w:tcPr>
          <w:p>
            <w:pPr/>
            <w:r>
              <w:rPr/>
              <w:t xml:space="preserve">ganze Wohnung
</w:t>
            </w:r>
          </w:p>
          <w:p>
            <w:pPr/>
            <w:r>
              <w:rPr/>
              <w:t xml:space="preserve">2.OG
</w:t>
            </w:r>
          </w:p>
          <w:p>
            <w:pPr/>
            <w:r>
              <w:rPr/>
              <w:t xml:space="preserve">Fenster
</w:t>
            </w:r>
          </w:p>
        </w:tc>
        <w:tc>
          <w:tcPr>
            <w:noWrap/>
          </w:tcPr>
          <w:p>
            <w:pPr/>
            <w:r>
              <w:rPr/>
              <w:t xml:space="preserve">VM-1
</w:t>
            </w:r>
          </w:p>
          <w:p>
            <w:pPr/>
            <w:r>
              <w:rPr/>
              <w:t xml:space="preserve">Fenster-/Anschlagkitt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Map-2</w:t>
            </w:r>
          </w:p>
        </w:tc>
        <w:tc>
          <w:tcPr>
            <w:noWrap/>
          </w:tcPr>
          <w:p>
            <w:pPr/>
            <w:r>
              <w:rPr/>
              <w:t xml:space="preserve">diverse Anwendungen
</w:t>
            </w:r>
          </w:p>
          <w:p>
            <w:pPr/>
            <w:r>
              <w:rPr/>
              <w:t xml:space="preserve">2.OG
</w:t>
            </w:r>
          </w:p>
        </w:tc>
        <w:tc>
          <w:tcPr>
            <w:noWrap/>
          </w:tcPr>
          <w:p>
            <w:pPr/>
            <w:r>
              <w:rPr/>
              <w:t xml:space="preserve">VM-3
</w:t>
            </w:r>
          </w:p>
          <w:p>
            <w:pPr/>
            <w:r>
              <w:rPr/>
              <w:t xml:space="preserve">Leichtbauelemente
</w:t>
            </w:r>
          </w:p>
          <w:p>
            <w:pPr/>
            <w:r>
              <w:rPr/>
              <w:t xml:space="preserve">Elektrofassungen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VB-2</w:t>
            </w:r>
          </w:p>
        </w:tc>
        <w:tc>
          <w:tcPr>
            <w:noWrap/>
          </w:tcPr>
          <w:p>
            <w:pPr/>
            <w:r>
              <w:rPr/>
              <w:t xml:space="preserve">Küche
</w:t>
            </w:r>
          </w:p>
          <w:p>
            <w:pPr/>
            <w:r>
              <w:rPr/>
              <w:t xml:space="preserve">2.OG
</w:t>
            </w:r>
          </w:p>
        </w:tc>
        <w:tc>
          <w:tcPr>
            <w:noWrap/>
          </w:tcPr>
          <w:p>
            <w:pPr/>
            <w:r>
              <w:rPr/>
              <w:t xml:space="preserve">VM-4
</w:t>
            </w:r>
          </w:p>
          <w:p>
            <w:pPr/>
            <w:r>
              <w:rPr/>
              <w:t xml:space="preserve">Brandschutzplatte
</w:t>
            </w:r>
          </w:p>
          <w:p>
            <w:pPr/>
            <w:r>
              <w:rPr/>
              <w:t xml:space="preserve">Herd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VB-4</w:t>
            </w:r>
          </w:p>
        </w:tc>
        <w:tc>
          <w:tcPr>
            <w:noWrap/>
          </w:tcPr>
          <w:p>
            <w:pPr/>
            <w:r>
              <w:rPr/>
              <w:t xml:space="preserve">ganze Wohnung
</w:t>
            </w:r>
          </w:p>
          <w:p>
            <w:pPr/>
            <w:r>
              <w:rPr/>
              <w:t xml:space="preserve">2.OG
</w:t>
            </w:r>
          </w:p>
        </w:tc>
        <w:tc>
          <w:tcPr>
            <w:noWrap/>
          </w:tcPr>
          <w:p>
            <w:pPr/>
            <w:r>
              <w:rPr/>
              <w:t xml:space="preserve">VM-5
</w:t>
            </w:r>
          </w:p>
          <w:p>
            <w:pPr/>
            <w:r>
              <w:rPr/>
              <w:t xml:space="preserve">behandeltes Holz
</w:t>
            </w:r>
          </w:p>
          <w:p>
            <w:pPr/>
            <w:r>
              <w:rPr/>
              <w:t xml:space="preserve">Konstruktions- und Verkleidungsholz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VB-5</w:t>
            </w:r>
          </w:p>
        </w:tc>
        <w:tc>
          <w:tcPr>
            <w:noWrap/>
          </w:tcPr>
          <w:p>
            <w:pPr/>
            <w:r>
              <w:rPr/>
              <w:t xml:space="preserve">Balkon
</w:t>
            </w:r>
          </w:p>
          <w:p>
            <w:pPr/>
            <w:r>
              <w:rPr/>
              <w:t xml:space="preserve">2.OG
</w:t>
            </w:r>
          </w:p>
        </w:tc>
        <w:tc>
          <w:tcPr>
            <w:noWrap/>
          </w:tcPr>
          <w:p>
            <w:pPr/>
            <w:r>
              <w:rPr/>
              <w:t xml:space="preserve">VM-11
</w:t>
            </w:r>
          </w:p>
          <w:p>
            <w:pPr/>
            <w:r>
              <w:rPr/>
              <w:t xml:space="preserve">Faserzement
</w:t>
            </w:r>
          </w:p>
          <w:p>
            <w:pPr/>
            <w:r>
              <w:rPr/>
              <w:t xml:space="preserve">Formteil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8"/>
    </w:p>
    <w:p w14:paraId="27B7066A" w14:textId="77777777"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