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Guggenbühlstrasse 31, 8953 Dietikon</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201</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Marco Wiederkehr</w:t>
            </w:r>
            <w:bookmarkEnd w:id="12"/>
            <w:r w:rsidRPr="00A53CA1">
              <w:rPr>
                <w:sz w:val="24"/>
                <w:szCs w:val="24"/>
                <w:lang w:val="en-GB"/>
              </w:rPr>
              <w:t xml:space="preserve"> </w:t>
            </w:r>
            <w:bookmarkStart w:id="13" w:name="OLE_LINK13"/>
            <w:r w:rsidRPr="00A53CA1">
              <w:rPr>
                <w:sz w:val="24"/>
                <w:szCs w:val="24"/>
                <w:lang w:val="en-GB"/>
              </w:rPr>
              <w:t>0794629611</w:t>
            </w:r>
            <w:bookmarkEnd w:id="13"/>
          </w:p>
          <w:p w14:paraId="13E892BD" w14:textId="77777777" w:rsidR="0047123B" w:rsidRDefault="0047123B" w:rsidP="004A1ED8">
            <w:pPr>
              <w:widowControl w:val="0"/>
              <w:spacing w:line="240" w:lineRule="auto"/>
              <w:rPr>
                <w:sz w:val="24"/>
                <w:szCs w:val="24"/>
              </w:rPr>
            </w:pPr>
            <w:r>
              <w:rPr>
                <w:sz w:val="24"/>
                <w:szCs w:val="24"/>
              </w:rPr>
              <w:t>marcowiederkehr@bluewin.ch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13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B zu entsorgen.</w:t>
      </w:r>
      <w:br/>
      <w:r>
        <w:rPr/>
        <w:t xml:space="preserve"/>
      </w:r>
      <w:br/>
      <w:r>
        <w:rPr/>
        <w:t xml:space="preserve">Beim Rückbau von Asbestplatten aus Map 19 wird empfohlen, dass Sanierungsarbeiten durch qualifizierte Schadstoffsanierer erfolgen, um eine sichere und fachgerechte Entsorgung gemäss den Richtlinien 65100 sicherzustellen. Diese Materialien sollen mit dem LVA Code 17 06 05 in einer Sondermülldeponie entsorgt werden.</w:t>
      </w:r>
      <w:br/>
      <w:r>
        <w:rPr/>
        <w:t xml:space="preserve"/>
      </w:r>
      <w:br/>
      <w:r>
        <w:rPr/>
        <w:t xml:space="preserve">Bitumendachabdichtungen, identifiziert in Map 22, können von instruieren Handwerkern demontiert werden, wobei die Richtlinien 31001 zu beachten sind. Die Entsorgung erfolgt anhand des LVA Codes 17 03 02 in einer Deponie B.</w:t>
      </w:r>
      <w:br/>
      <w:r>
        <w:rPr/>
        <w:t xml:space="preserve"/>
      </w:r>
      <w:br/>
      <w:r>
        <w:rPr/>
        <w:t xml:space="preserve">PCB-haltige Dichtstoffe, die in der Probenbezeichnung Map 30 aufgeführt sind, erfordern die Betreuung durch ausgebildete Schadstoffsanierer aufgrund ihrer gesundheitsschädlichen Eigenschaften. Für die Entsorgung ist der LVA Code 17 09 03 zu verwenden, die nach den Richtlinien 47200 durchgeführt wird.</w:t>
      </w:r>
      <w:br/>
      <w:r>
        <w:rPr/>
        <w:t xml:space="preserve"/>
      </w:r>
      <w:br/>
      <w:r>
        <w:rPr/>
        <w:t xml:space="preserve">Im Fall von Künstlichen Mineralfasern, die in Map 25 verzeichnet sind, ist ein geübter Handwerker ausreichend, vorausgesetzt die Arbeiten erfolgen gemäss den Richtlinien 33500. Eine Entsorgung in Deponie C ist mit dem LVA Code 17 06 04 vereinbart.</w:t>
      </w:r>
      <w:br/>
      <w:r>
        <w:rPr/>
        <w:t xml:space="preserve"/>
      </w:r>
      <w:br/>
      <w:r>
        <w:rPr/>
        <w:t xml:space="preserve">Die in den Silikonfugen aus Map 28 enthaltenen PAKs sollten durch einen professionellen Schadstoffsanierer eliminiert werden, um den Vorgaben der Richtlinien 45000 zu entsprechen. Diese Materialien sind mit dem LVA Code 17 09 04 zu entsorgen.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OG
</w:t>
            </w:r>
          </w:p>
          <w:p>
            <w:pPr/>
            <w:r>
              <w:rPr/>
              <w:t xml:space="preserve">Boden
</w:t>
            </w:r>
          </w:p>
        </w:tc>
        <w:tc>
          <w:tcPr>
            <w:noWrap/>
          </w:tcPr>
          <w:p>
            <w:pPr/>
            <w:r>
              <w:rPr/>
              <w:t xml:space="preserve">VM-1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Bad
</w:t>
            </w:r>
          </w:p>
          <w:p>
            <w:pPr/>
            <w:r>
              <w:rPr/>
              <w:t xml:space="preserve">OG
</w:t>
            </w:r>
          </w:p>
          <w:p>
            <w:pPr/>
            <w:r>
              <w:rPr/>
              <w:t xml:space="preserve">Wand
</w:t>
            </w:r>
          </w:p>
        </w:tc>
        <w:tc>
          <w:tcPr>
            <w:noWrap/>
          </w:tcPr>
          <w:p>
            <w:pPr/>
            <w:r>
              <w:rPr/>
              <w:t xml:space="preserve">VM-2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Bad
</w:t>
            </w:r>
          </w:p>
          <w:p>
            <w:pPr/>
            <w:r>
              <w:rPr/>
              <w:t xml:space="preserve">OG
</w:t>
            </w:r>
          </w:p>
          <w:p>
            <w:pPr/>
            <w:r>
              <w:rPr/>
              <w:t xml:space="preserve">Wand
</w:t>
            </w: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Bad
</w:t>
            </w:r>
          </w:p>
          <w:p>
            <w:pPr/>
            <w:r>
              <w:rPr/>
              <w:t xml:space="preserve">OG
</w:t>
            </w:r>
          </w:p>
          <w:p>
            <w:pPr/>
            <w:r>
              <w:rPr/>
              <w:t xml:space="preserve">Decke
</w:t>
            </w:r>
          </w:p>
        </w:tc>
        <w:tc>
          <w:tcPr>
            <w:noWrap/>
          </w:tcPr>
          <w:p>
            <w:pPr/>
            <w:r>
              <w:rPr/>
              <w:t xml:space="preserve">VM-4
</w:t>
            </w:r>
          </w:p>
          <w:p>
            <w:pPr/>
            <w:r>
              <w:rPr/>
              <w:t xml:space="preserve">Putz
</w:t>
            </w:r>
          </w:p>
          <w:p>
            <w:pPr/>
            <w:r>
              <w:rPr/>
              <w:t xml:space="preserve">Decke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