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Seebüelstrasse 4a, 9403 Goldach</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183</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Kordzumdieke Gabriele</w:t>
            </w:r>
            <w:bookmarkEnd w:id="12"/>
            <w:r w:rsidRPr="00A53CA1">
              <w:rPr>
                <w:sz w:val="24"/>
                <w:szCs w:val="24"/>
                <w:lang w:val="en-GB"/>
              </w:rPr>
              <w:t xml:space="preserve"> </w:t>
            </w:r>
            <w:bookmarkStart w:id="13" w:name="OLE_LINK13"/>
            <w:r w:rsidRPr="00A53CA1">
              <w:rPr>
                <w:sz w:val="24"/>
                <w:szCs w:val="24"/>
                <w:lang w:val="en-GB"/>
              </w:rPr>
              <w:t>0798207098</w:t>
            </w:r>
            <w:bookmarkEnd w:id="13"/>
          </w:p>
          <w:p w14:paraId="13E892BD" w14:textId="77777777" w:rsidR="0047123B" w:rsidRDefault="0047123B" w:rsidP="004A1ED8">
            <w:pPr>
              <w:widowControl w:val="0"/>
              <w:spacing w:line="240" w:lineRule="auto"/>
              <w:rPr>
                <w:sz w:val="24"/>
                <w:szCs w:val="24"/>
              </w:rPr>
            </w:pPr>
            <w:r>
              <w:rPr>
                <w:sz w:val="24"/>
                <w:szCs w:val="24"/>
              </w:rPr>
              <w:t>gkordzumdieke@hispeed.ch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18 February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b w:val="1"/>
          <w:bCs w:val="1"/>
        </w:rPr>
        <w:t xml:space="preserve"/>
      </w:r>
      <w:r>
        <w:rPr>
          <w:b w:val="1"/>
          <w:bCs w:val="1"/>
        </w:rPr>
        <w:t xml:space="preserve">Empfehlung für den Abschluss Kundenbericht:</w:t>
      </w:r>
      <w:r>
        <w:rPr/>
        <w:t xml:space="preserve"/>
      </w:r>
      <w:br/>
      <w:r>
        <w:rPr/>
        <w:t xml:space="preserve"/>
      </w:r>
      <w:br/>
      <w:r>
        <w:rPr/>
        <w:t xml:space="preserve">Die Analyse und Bewertung der vorliegenden Materialien zeigt verschiedene Sanierungsanforderungen im Umgang mit Schadstoffen. Nachfolgend sind die Empfehlungen pro Material zusammengefasst:</w:t>
      </w:r>
      <w:br/>
      <w:r>
        <w:rPr/>
        <w:t xml:space="preserve"/>
      </w:r>
      <w:br/>
      <w:r>
        <w:rPr>
          <w:b w:val="1"/>
          <w:bCs w:val="1"/>
        </w:rPr>
        <w:t xml:space="preserve"/>
      </w:r>
      <w:r>
        <w:rPr>
          <w:b w:val="1"/>
          <w:bCs w:val="1"/>
        </w:rPr>
        <w:t xml:space="preserve">Sanierung durch Schadstoffsanierer:</w:t>
      </w:r>
      <w:r>
        <w:rPr/>
        <w:t xml:space="preserve"/>
      </w:r>
      <w:br/>
      <w:r>
        <w:rPr/>
        <w:t xml:space="preserve"/>
      </w:r>
      <w:br/>
      <w:r>
        <w:rPr>
          <w:b w:val="1"/>
          <w:bCs w:val="1"/>
        </w:rPr>
        <w:t xml:space="preserve">- </w:t>
      </w:r>
      <w:r>
        <w:rPr>
          <w:b w:val="1"/>
          <w:bCs w:val="1"/>
        </w:rPr>
        <w:t xml:space="preserve">Asbesthaltige Fliesen:</w:t>
      </w:r>
      <w:r>
        <w:rPr/>
        <w:t xml:space="preserve"> Diese sollten von einem spezialisierten Schadstoffsanierer demontiert werden, da ihre Verarbeitung und Entsorgung strikten Vorschriften unterliegt. Der Rückbau erfolgt nach den Richtlinien zur Asbestsanierung mit einer Entsorgung gemäss LVA Code 17 06 05* auf einer Deponie Typ E.</w:t>
      </w:r>
      <w:br/>
      <w:r>
        <w:rPr/>
        <w:t xml:space="preserve"/>
      </w:r>
      <w:br/>
      <w:r>
        <w:rPr>
          <w:b w:val="1"/>
          <w:bCs w:val="1"/>
        </w:rPr>
        <w:t xml:space="preserve">- </w:t>
      </w:r>
      <w:r>
        <w:rPr>
          <w:b w:val="1"/>
          <w:bCs w:val="1"/>
        </w:rPr>
        <w:t xml:space="preserve">PCB-belastete Fugenmassen:</w:t>
      </w:r>
      <w:r>
        <w:rPr/>
        <w:t xml:space="preserve"> Die Fugenmasse muss fachgerecht durch spezialisierte Sanierer entfernt werden, da PCB gesundheitsschädliche Wirkungen hat. Sie wird unter Berücksichtigung der Richtlinien für PCB mit LVA Code 17 09 02* zur Entsorgung gebracht.</w:t>
      </w:r>
      <w:br/>
      <w:r>
        <w:rPr/>
        <w:t xml:space="preserve"/>
      </w:r>
      <w:br/>
      <w:r>
        <w:rPr>
          <w:b w:val="1"/>
          <w:bCs w:val="1"/>
        </w:rPr>
        <w:t xml:space="preserve"/>
      </w:r>
      <w:r>
        <w:rPr>
          <w:b w:val="1"/>
          <w:bCs w:val="1"/>
        </w:rPr>
        <w:t xml:space="preserve">Sanierung durch instruierte Handwerker:</w:t>
      </w:r>
      <w:r>
        <w:rPr/>
        <w:t xml:space="preserve"/>
      </w:r>
      <w:br/>
      <w:r>
        <w:rPr/>
        <w:t xml:space="preserve"/>
      </w:r>
      <w:br/>
      <w:r>
        <w:rPr>
          <w:b w:val="1"/>
          <w:bCs w:val="1"/>
        </w:rPr>
        <w:t xml:space="preserve">- </w:t>
      </w:r>
      <w:r>
        <w:rPr>
          <w:b w:val="1"/>
          <w:bCs w:val="1"/>
        </w:rPr>
        <w:t xml:space="preserve">Faserzement aus Map 17:</w:t>
      </w:r>
      <w:r>
        <w:rPr/>
        <w:t xml:space="preserve"> Dieses Material kann durch geschulte Handwerker, die den Richtlinien 33031 folgen, sicher entfernt werden. Der Rückbau sollte auf einer kontrollierten Deponie B unter dem LVA Code 17 06 98NK erfolgen.</w:t>
      </w:r>
      <w:br/>
      <w:r>
        <w:rPr/>
        <w:t xml:space="preserve"/>
      </w:r>
      <w:br/>
      <w:r>
        <w:rPr>
          <w:b w:val="1"/>
          <w:bCs w:val="1"/>
        </w:rPr>
        <w:t xml:space="preserve">- </w:t>
      </w:r>
      <w:r>
        <w:rPr>
          <w:b w:val="1"/>
          <w:bCs w:val="1"/>
        </w:rPr>
        <w:t xml:space="preserve">Teerhaltige Dachpappe:</w:t>
      </w:r>
      <w:r>
        <w:rPr/>
        <w:t xml:space="preserve"> Instruierte Handwerker können die Dachpappe unter Beachtung der einschlägigen Sicherheitsmassnahmen entfernen. Die Entsorgung erfolgt gemäss LVA Code 17 03 01* auf einer dafür vorgesehenen Deponie.</w:t>
      </w:r>
      <w:br/>
      <w:r>
        <w:rPr/>
        <w:t xml:space="preserve"/>
      </w:r>
      <w:br/>
      <w:r>
        <w:rPr/>
        <w:t xml:space="preserve">Dieses Vorgehen stellt sicher, dass alle relevanten gesundheitlichen und umwelttechnischen Aspekte im Umgang mit den identifizierten Schadstoffen berücksichtigt werden. Durch die Einhaltung der vorgeschriebenen Richtlinien werden potenzielle Risiken minimiert und die nötige Rechtssicherheit gewährleistet.</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
</w:t>
            </w:r>
          </w:p>
          <w:p>
            <w:pPr/>
            <w:r>
              <w:rPr/>
              <w:t xml:space="preserve">7. OG
</w:t>
            </w:r>
          </w:p>
        </w:tc>
        <w:tc>
          <w:tcPr>
            <w:noWrap/>
          </w:tcPr>
          <w:p>
            <w:pPr/>
            <w:r>
              <w:rPr/>
              <w:t xml:space="preserve">VM-1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