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1" w:type="dxa"/>
        <w:tblInd w:w="-113" w:type="dxa"/>
        <w:tblLayout w:type="fixed"/>
        <w:tblLook w:val="0600" w:firstRow="0" w:lastRow="0" w:firstColumn="0" w:lastColumn="0" w:noHBand="1" w:noVBand="1"/>
      </w:tblPr>
      <w:tblGrid>
        <w:gridCol w:w="5386"/>
        <w:gridCol w:w="729"/>
        <w:gridCol w:w="3306"/>
      </w:tblGrid>
      <w:tr w:rsidR="0047123B" w14:paraId="6553C78C" w14:textId="77777777" w:rsidTr="004A1ED8">
        <w:trPr>
          <w:trHeight w:val="3764"/>
        </w:trPr>
        <w:tc>
          <w:tcPr>
            <w:tcW w:w="5386" w:type="dxa"/>
            <w:shd w:val="clear" w:color="auto" w:fill="auto"/>
            <w:tcMar>
              <w:top w:w="100" w:type="dxa"/>
              <w:left w:w="100" w:type="dxa"/>
              <w:bottom w:w="100" w:type="dxa"/>
              <w:right w:w="100" w:type="dxa"/>
            </w:tcMar>
          </w:tcPr>
          <w:p w14:paraId="0092671F" w14:textId="77777777"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14:paraId="63AC908A" w14:textId="77777777" w:rsidR="0047123B" w:rsidRPr="00A53CA1" w:rsidRDefault="0047123B" w:rsidP="004A1ED8">
            <w:pPr>
              <w:spacing w:line="240" w:lineRule="auto"/>
              <w:rPr>
                <w:sz w:val="24"/>
                <w:szCs w:val="24"/>
                <w:lang w:val="en-GB"/>
              </w:rPr>
            </w:pPr>
            <w:bookmarkStart w:id="1" w:name="OLE_LINK33"/>
            <w:r w:rsidRPr="00A53CA1">
              <w:rPr>
                <w:sz w:val="24"/>
                <w:szCs w:val="24"/>
                <w:lang w:val="en-GB"/>
              </w:rPr>
              <w:t>Tiergartenstrasse 14 8802 Kilchberg ZH</w:t>
            </w:r>
            <w:bookmarkEnd w:id="1"/>
            <w:r w:rsidRPr="00A53CA1">
              <w:rPr>
                <w:sz w:val="24"/>
                <w:szCs w:val="24"/>
                <w:lang w:val="en-GB"/>
              </w:rPr>
              <w:br/>
            </w:r>
            <w:r w:rsidRPr="00A53CA1">
              <w:rPr>
                <w:sz w:val="24"/>
                <w:szCs w:val="24"/>
                <w:lang w:val="en-GB"/>
              </w:rPr>
              <w:br/>
              <w:t/>
            </w:r>
          </w:p>
          <w:p w14:paraId="6E31FAB3" w14:textId="77777777" w:rsidR="0047123B" w:rsidRPr="00A53CA1" w:rsidRDefault="0047123B" w:rsidP="004A1ED8">
            <w:pPr>
              <w:spacing w:line="240" w:lineRule="auto"/>
              <w:rPr>
                <w:sz w:val="24"/>
                <w:szCs w:val="24"/>
                <w:lang w:val="en-GB"/>
              </w:rPr>
            </w:pPr>
          </w:p>
          <w:p w14:paraId="0E6B913A" w14:textId="77777777" w:rsidR="0047123B" w:rsidRPr="00A53CA1" w:rsidRDefault="0047123B" w:rsidP="004A1ED8">
            <w:pPr>
              <w:spacing w:line="240" w:lineRule="auto"/>
              <w:rPr>
                <w:sz w:val="24"/>
                <w:szCs w:val="24"/>
                <w:lang w:val="en-GB"/>
              </w:rPr>
            </w:pPr>
            <w:r w:rsidRPr="00A53CA1">
              <w:rPr>
                <w:sz w:val="24"/>
                <w:szCs w:val="24"/>
                <w:lang w:val="en-GB"/>
              </w:rPr>
              <w:t/>
            </w:r>
          </w:p>
          <w:p w14:paraId="4FAF1CA3" w14:textId="77777777" w:rsidR="0047123B" w:rsidRPr="00A53CA1" w:rsidRDefault="0047123B" w:rsidP="004A1ED8">
            <w:pPr>
              <w:spacing w:line="240" w:lineRule="auto"/>
              <w:rPr>
                <w:sz w:val="24"/>
                <w:szCs w:val="24"/>
                <w:lang w:val="en-GB"/>
              </w:rPr>
            </w:pPr>
          </w:p>
          <w:p w14:paraId="0BEA6665" w14:textId="77777777" w:rsidR="0047123B" w:rsidRPr="00A53CA1" w:rsidRDefault="0047123B" w:rsidP="004A1ED8">
            <w:pPr>
              <w:spacing w:line="240" w:lineRule="auto"/>
              <w:rPr>
                <w:sz w:val="24"/>
                <w:szCs w:val="24"/>
                <w:lang w:val="en-GB"/>
              </w:rPr>
            </w:pPr>
          </w:p>
          <w:p w14:paraId="3A66E79D" w14:textId="77777777" w:rsidR="0047123B" w:rsidRPr="00A53CA1" w:rsidRDefault="0047123B" w:rsidP="004A1ED8">
            <w:pPr>
              <w:spacing w:line="240" w:lineRule="auto"/>
              <w:rPr>
                <w:sz w:val="24"/>
                <w:szCs w:val="24"/>
                <w:lang w:val="en-GB"/>
              </w:rPr>
            </w:pPr>
          </w:p>
          <w:p w14:paraId="18D05159" w14:textId="77777777" w:rsidR="0047123B" w:rsidRPr="00A53CA1" w:rsidRDefault="0047123B" w:rsidP="004A1ED8">
            <w:pPr>
              <w:spacing w:line="240" w:lineRule="auto"/>
              <w:rPr>
                <w:sz w:val="24"/>
                <w:szCs w:val="24"/>
                <w:lang w:val="en-GB"/>
              </w:rPr>
            </w:pPr>
          </w:p>
          <w:p w14:paraId="0ACD789C" w14:textId="77777777" w:rsidR="0047123B" w:rsidRPr="00A53CA1" w:rsidRDefault="0047123B" w:rsidP="004A1ED8">
            <w:pPr>
              <w:spacing w:line="240" w:lineRule="auto"/>
              <w:rPr>
                <w:sz w:val="24"/>
                <w:szCs w:val="24"/>
                <w:lang w:val="en-GB"/>
              </w:rPr>
            </w:pPr>
          </w:p>
          <w:p w14:paraId="0798B1C5" w14:textId="77777777" w:rsidR="0047123B" w:rsidRPr="00A53CA1" w:rsidRDefault="0047123B" w:rsidP="004A1ED8">
            <w:pPr>
              <w:spacing w:line="240" w:lineRule="auto"/>
              <w:rPr>
                <w:sz w:val="24"/>
                <w:szCs w:val="24"/>
                <w:lang w:val="en-GB"/>
              </w:rPr>
            </w:pPr>
          </w:p>
          <w:p w14:paraId="07E895C8" w14:textId="77777777" w:rsidR="0047123B" w:rsidRPr="00A53CA1" w:rsidRDefault="0047123B" w:rsidP="004A1ED8">
            <w:pPr>
              <w:spacing w:line="240" w:lineRule="auto"/>
              <w:rPr>
                <w:sz w:val="24"/>
                <w:szCs w:val="24"/>
                <w:lang w:val="en-GB"/>
              </w:rPr>
            </w:pPr>
          </w:p>
          <w:p w14:paraId="00C6CA84" w14:textId="77777777" w:rsidR="0047123B" w:rsidRDefault="0047123B" w:rsidP="004A1ED8">
            <w:pPr>
              <w:spacing w:line="240" w:lineRule="auto"/>
              <w:jc w:val="right"/>
              <w:rPr>
                <w:b/>
                <w:sz w:val="24"/>
                <w:szCs w:val="24"/>
              </w:rPr>
            </w:pPr>
            <w:r>
              <w:rPr>
                <w:b/>
                <w:sz w:val="24"/>
                <w:szCs w:val="24"/>
              </w:rPr>
              <w:t>DN: 182</w:t>
            </w:r>
          </w:p>
        </w:tc>
      </w:tr>
    </w:tbl>
    <w:p w14:paraId="5A1B3C65" w14:textId="77777777" w:rsidR="0047123B" w:rsidRDefault="0047123B" w:rsidP="0047123B">
      <w:pPr>
        <w:spacing w:line="240" w:lineRule="auto"/>
        <w:rPr>
          <w:sz w:val="24"/>
          <w:szCs w:val="24"/>
        </w:rPr>
      </w:pPr>
    </w:p>
    <w:p w14:paraId="61E8E1A1" w14:textId="77777777"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14:paraId="15585A30" w14:textId="77777777" w:rsidTr="004A1ED8">
        <w:tc>
          <w:tcPr>
            <w:tcW w:w="2370" w:type="dxa"/>
            <w:shd w:val="clear" w:color="auto" w:fill="auto"/>
            <w:tcMar>
              <w:top w:w="100" w:type="dxa"/>
              <w:left w:w="100" w:type="dxa"/>
              <w:bottom w:w="100" w:type="dxa"/>
              <w:right w:w="100" w:type="dxa"/>
            </w:tcMar>
          </w:tcPr>
          <w:p w14:paraId="3E24CFC1" w14:textId="77777777"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14:paraId="2542F907" w14:textId="77777777" w:rsidR="0047123B" w:rsidRDefault="0047123B" w:rsidP="004A1ED8">
            <w:pPr>
              <w:widowControl w:val="0"/>
              <w:spacing w:line="240" w:lineRule="auto"/>
              <w:rPr>
                <w:sz w:val="24"/>
                <w:szCs w:val="24"/>
              </w:rPr>
            </w:pPr>
            <w:bookmarkStart w:id="2" w:name="OLE_LINK16"/>
            <w:r>
              <w:rPr>
                <w:sz w:val="24"/>
                <w:szCs w:val="24"/>
              </w:rPr>
              <w:t xml:space="preserve"/>
            </w:r>
          </w:p>
        </w:tc>
      </w:tr>
      <w:tr w:rsidR="0047123B" w14:paraId="7D4C9157" w14:textId="77777777" w:rsidTr="004A1ED8">
        <w:tc>
          <w:tcPr>
            <w:tcW w:w="2370" w:type="dxa"/>
            <w:shd w:val="clear" w:color="auto" w:fill="auto"/>
            <w:tcMar>
              <w:top w:w="100" w:type="dxa"/>
              <w:left w:w="100" w:type="dxa"/>
              <w:bottom w:w="100" w:type="dxa"/>
              <w:right w:w="100" w:type="dxa"/>
            </w:tcMar>
          </w:tcPr>
          <w:p w14:paraId="79889257" w14:textId="77777777"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14:paraId="07630893" w14:textId="77777777" w:rsidR="0047123B" w:rsidRDefault="0047123B" w:rsidP="004A1ED8">
            <w:pPr>
              <w:widowControl w:val="0"/>
              <w:spacing w:line="240" w:lineRule="auto"/>
              <w:rPr>
                <w:sz w:val="24"/>
                <w:szCs w:val="24"/>
              </w:rPr>
            </w:pPr>
            <w:r>
              <w:rPr>
                <w:sz w:val="24"/>
                <w:szCs w:val="24"/>
              </w:rPr>
              <w:t/>
            </w:r>
          </w:p>
        </w:tc>
      </w:tr>
    </w:tbl>
    <w:p w14:paraId="7D70C1AB" w14:textId="77777777" w:rsidR="0047123B" w:rsidRDefault="0047123B" w:rsidP="0047123B">
      <w:pPr>
        <w:spacing w:line="240" w:lineRule="auto"/>
        <w:rPr>
          <w:sz w:val="24"/>
          <w:szCs w:val="24"/>
        </w:rPr>
      </w:pPr>
    </w:p>
    <w:p w14:paraId="69C2C21E" w14:textId="77777777"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14:paraId="4DF8E28C" w14:textId="77777777" w:rsidTr="004A1ED8">
        <w:tc>
          <w:tcPr>
            <w:tcW w:w="2355" w:type="dxa"/>
            <w:shd w:val="clear" w:color="auto" w:fill="auto"/>
            <w:tcMar>
              <w:top w:w="100" w:type="dxa"/>
              <w:left w:w="100" w:type="dxa"/>
              <w:bottom w:w="100" w:type="dxa"/>
              <w:right w:w="100" w:type="dxa"/>
            </w:tcMar>
          </w:tcPr>
          <w:p w14:paraId="6F9DE29F" w14:textId="77777777"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14:paraId="170BD2EB" w14:textId="77777777" w:rsidR="0047123B" w:rsidRDefault="0047123B" w:rsidP="004A1ED8">
            <w:pPr>
              <w:spacing w:line="240" w:lineRule="auto"/>
              <w:rPr>
                <w:sz w:val="24"/>
                <w:szCs w:val="24"/>
              </w:rPr>
            </w:pPr>
            <w:bookmarkStart w:id="8" w:name="OLE_LINK5"/>
            <w:r>
              <w:rPr>
                <w:sz w:val="24"/>
                <w:szCs w:val="24"/>
              </w:rPr>
              <w:t/>
            </w:r>
            <w:bookmarkEnd w:id="8"/>
          </w:p>
          <w:p w14:paraId="3BA73D3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14:paraId="19E52C06"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14:paraId="07D69403"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14:paraId="7F606FE0" w14:textId="77777777" w:rsidTr="004A1ED8">
        <w:tc>
          <w:tcPr>
            <w:tcW w:w="2355" w:type="dxa"/>
            <w:shd w:val="clear" w:color="auto" w:fill="auto"/>
            <w:tcMar>
              <w:top w:w="100" w:type="dxa"/>
              <w:left w:w="100" w:type="dxa"/>
              <w:bottom w:w="100" w:type="dxa"/>
              <w:right w:w="100" w:type="dxa"/>
            </w:tcMar>
          </w:tcPr>
          <w:p w14:paraId="6017FC2F" w14:textId="77777777"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14:paraId="1332836C" w14:textId="77777777" w:rsidR="0047123B" w:rsidRPr="00A53CA1" w:rsidRDefault="0047123B" w:rsidP="004A1ED8">
            <w:pPr>
              <w:widowControl w:val="0"/>
              <w:spacing w:line="240" w:lineRule="auto"/>
              <w:rPr>
                <w:sz w:val="24"/>
                <w:szCs w:val="24"/>
                <w:lang w:val="en-GB"/>
              </w:rPr>
            </w:pPr>
            <w:bookmarkStart w:id="12" w:name="OLE_LINK7"/>
            <w:r w:rsidRPr="00A53CA1">
              <w:rPr>
                <w:sz w:val="24"/>
                <w:szCs w:val="24"/>
                <w:lang w:val="en-GB"/>
              </w:rPr>
              <w:t>Angela John</w:t>
            </w:r>
            <w:bookmarkEnd w:id="12"/>
            <w:r w:rsidRPr="00A53CA1">
              <w:rPr>
                <w:sz w:val="24"/>
                <w:szCs w:val="24"/>
                <w:lang w:val="en-GB"/>
              </w:rPr>
              <w:t xml:space="preserve"> </w:t>
            </w:r>
            <w:bookmarkStart w:id="13" w:name="OLE_LINK13"/>
            <w:r w:rsidRPr="00A53CA1">
              <w:rPr>
                <w:sz w:val="24"/>
                <w:szCs w:val="24"/>
                <w:lang w:val="en-GB"/>
              </w:rPr>
              <w:t>0787981234</w:t>
            </w:r>
            <w:bookmarkEnd w:id="13"/>
          </w:p>
          <w:p w14:paraId="13E892BD" w14:textId="77777777" w:rsidR="0047123B" w:rsidRDefault="0047123B" w:rsidP="004A1ED8">
            <w:pPr>
              <w:widowControl w:val="0"/>
              <w:spacing w:line="240" w:lineRule="auto"/>
              <w:rPr>
                <w:sz w:val="24"/>
                <w:szCs w:val="24"/>
              </w:rPr>
            </w:pPr>
            <w:r>
              <w:rPr>
                <w:sz w:val="24"/>
                <w:szCs w:val="24"/>
              </w:rPr>
              <w:t>angela.john@gmx.ch</w:t>
            </w:r>
          </w:p>
        </w:tc>
        <w:tc>
          <w:tcPr>
            <w:tcW w:w="2415" w:type="dxa"/>
            <w:shd w:val="clear" w:color="auto" w:fill="auto"/>
            <w:tcMar>
              <w:top w:w="100" w:type="dxa"/>
              <w:left w:w="100" w:type="dxa"/>
              <w:bottom w:w="100" w:type="dxa"/>
              <w:right w:w="100" w:type="dxa"/>
            </w:tcMar>
          </w:tcPr>
          <w:p w14:paraId="5C522198"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5DFA241"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40B70090" w14:textId="77777777" w:rsidTr="004A1ED8">
        <w:tc>
          <w:tcPr>
            <w:tcW w:w="2355" w:type="dxa"/>
          </w:tcPr>
          <w:p w14:paraId="31B0E388" w14:textId="77777777" w:rsidR="0047123B" w:rsidRDefault="0047123B" w:rsidP="004A1ED8">
            <w:pPr>
              <w:spacing w:line="240" w:lineRule="auto"/>
              <w:rPr>
                <w:sz w:val="24"/>
                <w:szCs w:val="24"/>
              </w:rPr>
            </w:pPr>
            <w:r>
              <w:rPr>
                <w:sz w:val="24"/>
                <w:szCs w:val="24"/>
              </w:rPr>
              <w:t>Zeitpunkt der Untersuchung</w:t>
            </w:r>
          </w:p>
        </w:tc>
        <w:tc>
          <w:tcPr>
            <w:tcW w:w="2265" w:type="dxa"/>
          </w:tcPr>
          <w:p w14:paraId="6A159552" w14:textId="77777777"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90E5E7A"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14:paraId="174B598C" w14:textId="77777777"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14:paraId="50EC67F4" w14:textId="77777777" w:rsidTr="004A1ED8">
        <w:tc>
          <w:tcPr>
            <w:tcW w:w="2355" w:type="dxa"/>
          </w:tcPr>
          <w:p w14:paraId="479D70B3" w14:textId="77777777" w:rsidR="0047123B" w:rsidRDefault="0047123B" w:rsidP="004A1ED8">
            <w:pPr>
              <w:spacing w:line="240" w:lineRule="auto"/>
              <w:rPr>
                <w:sz w:val="24"/>
                <w:szCs w:val="24"/>
              </w:rPr>
            </w:pPr>
            <w:r>
              <w:rPr>
                <w:sz w:val="24"/>
                <w:szCs w:val="24"/>
              </w:rPr>
              <w:t>Zusätzliche Beigabe</w:t>
            </w:r>
          </w:p>
        </w:tc>
        <w:tc>
          <w:tcPr>
            <w:tcW w:w="2265" w:type="dxa"/>
          </w:tcPr>
          <w:p w14:paraId="7DF95B70" w14:textId="77777777"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14:paraId="6235E4C7"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48968155"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65972E09" w14:textId="77777777" w:rsidTr="004A1ED8">
        <w:trPr>
          <w:trHeight w:val="465"/>
        </w:trPr>
        <w:tc>
          <w:tcPr>
            <w:tcW w:w="2355" w:type="dxa"/>
          </w:tcPr>
          <w:p w14:paraId="185CDFD3" w14:textId="77777777" w:rsidR="0047123B" w:rsidRDefault="0047123B" w:rsidP="004A1ED8">
            <w:pPr>
              <w:spacing w:line="240" w:lineRule="auto"/>
              <w:rPr>
                <w:sz w:val="24"/>
                <w:szCs w:val="24"/>
              </w:rPr>
            </w:pPr>
            <w:r>
              <w:rPr>
                <w:sz w:val="24"/>
                <w:szCs w:val="24"/>
              </w:rPr>
              <w:t>Chur, 22 February 2025</w:t>
            </w:r>
          </w:p>
        </w:tc>
        <w:tc>
          <w:tcPr>
            <w:tcW w:w="2265" w:type="dxa"/>
          </w:tcPr>
          <w:p w14:paraId="3E034F82"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200E0E5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649BAFC"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207F3D3C" w14:textId="77777777" w:rsidTr="004A1ED8">
        <w:trPr>
          <w:trHeight w:val="870"/>
        </w:trPr>
        <w:tc>
          <w:tcPr>
            <w:tcW w:w="2355" w:type="dxa"/>
          </w:tcPr>
          <w:p w14:paraId="73CDFCF6" w14:textId="77777777" w:rsidR="0047123B" w:rsidRDefault="0047123B" w:rsidP="004A1ED8">
            <w:pPr>
              <w:spacing w:line="240" w:lineRule="auto"/>
              <w:rPr>
                <w:sz w:val="24"/>
                <w:szCs w:val="24"/>
              </w:rPr>
            </w:pPr>
            <w:r>
              <w:rPr>
                <w:sz w:val="24"/>
                <w:szCs w:val="24"/>
              </w:rPr>
              <w:t>Unterschrift</w:t>
            </w:r>
          </w:p>
        </w:tc>
        <w:tc>
          <w:tcPr>
            <w:tcW w:w="2265" w:type="dxa"/>
          </w:tcPr>
          <w:p w14:paraId="406E6693"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661DCF5"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3668EC0"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7ADC1E40" w14:textId="77777777" w:rsidTr="004A1ED8">
        <w:trPr>
          <w:trHeight w:val="390"/>
        </w:trPr>
        <w:tc>
          <w:tcPr>
            <w:tcW w:w="2355" w:type="dxa"/>
          </w:tcPr>
          <w:p w14:paraId="4C5CE656" w14:textId="77777777" w:rsidR="0047123B" w:rsidRDefault="0047123B" w:rsidP="004A1ED8">
            <w:pPr>
              <w:spacing w:line="240" w:lineRule="auto"/>
              <w:rPr>
                <w:sz w:val="24"/>
                <w:szCs w:val="24"/>
              </w:rPr>
            </w:pPr>
            <w:r>
              <w:rPr>
                <w:sz w:val="24"/>
                <w:szCs w:val="24"/>
              </w:rPr>
              <w:t/>
            </w:r>
          </w:p>
        </w:tc>
        <w:tc>
          <w:tcPr>
            <w:tcW w:w="2265" w:type="dxa"/>
          </w:tcPr>
          <w:p w14:paraId="22FD4C48"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A64343B"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21349F9D" w14:textId="77777777" w:rsidR="0047123B" w:rsidRDefault="0047123B" w:rsidP="004A1ED8">
            <w:pPr>
              <w:widowControl w:val="0"/>
              <w:pBdr>
                <w:top w:val="nil"/>
                <w:left w:val="nil"/>
                <w:bottom w:val="nil"/>
                <w:right w:val="nil"/>
                <w:between w:val="nil"/>
              </w:pBdr>
              <w:spacing w:line="240" w:lineRule="auto"/>
              <w:rPr>
                <w:sz w:val="24"/>
                <w:szCs w:val="24"/>
              </w:rPr>
            </w:pPr>
          </w:p>
        </w:tc>
      </w:tr>
    </w:tbl>
    <w:p w14:paraId="0B607872" w14:textId="77777777" w:rsidR="00A53CA1" w:rsidRPr="00A53CA1" w:rsidRDefault="00A53CA1"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A53CA1">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Pr="00DE3B5D" w:rsidRDefault="00A53CA1" w:rsidP="00A53CA1">
      <w:pPr>
        <w:pBdr>
          <w:top w:val="nil"/>
          <w:left w:val="nil"/>
          <w:bottom w:val="nil"/>
          <w:right w:val="nil"/>
          <w:between w:val="nil"/>
        </w:pBdr>
        <w:shd w:val="clear" w:color="auto" w:fill="FFFFFF"/>
        <w:rPr>
          <w:rFonts w:asciiTheme="minorHAnsi" w:hAnsiTheme="minorHAnsi" w:cs="Aharoni"/>
        </w:rPr>
      </w:pPr>
    </w:p>
    <w:p w14:paraId="12BE7D35"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Umweltschutzgesetz (USG): Regelt den Schutz der Umwelt vor schädlichen Einwirkungen (Stand: 1. Januar 2022). </w:t>
      </w:r>
    </w:p>
    <w:p w14:paraId="30D60D6E" w14:textId="77777777" w:rsidR="00A53CA1" w:rsidRPr="00A53CA1" w:rsidRDefault="00A53CA1" w:rsidP="00A53CA1">
      <w:pPr>
        <w:widowControl w:val="0"/>
        <w:spacing w:before="41"/>
        <w:ind w:right="-122"/>
        <w:rPr>
          <w:b/>
          <w:bCs/>
          <w:sz w:val="24"/>
          <w:szCs w:val="24"/>
        </w:rPr>
      </w:pPr>
    </w:p>
    <w:p w14:paraId="1ECE1120"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Chemikalien-Risikoreduktions-Verordnung (</w:t>
      </w:r>
      <w:proofErr w:type="spellStart"/>
      <w:r w:rsidRPr="00A53CA1">
        <w:rPr>
          <w:b/>
          <w:bCs/>
          <w:sz w:val="24"/>
          <w:szCs w:val="24"/>
        </w:rPr>
        <w:t>ChemRRV</w:t>
      </w:r>
      <w:proofErr w:type="spellEnd"/>
      <w:r w:rsidRPr="00A53CA1">
        <w:rPr>
          <w:b/>
          <w:bCs/>
          <w:sz w:val="24"/>
          <w:szCs w:val="24"/>
        </w:rPr>
        <w:t>): Vorschriften zur Reduktion von Risiken beim Umgang mit gefährlichen Stoffen</w:t>
      </w:r>
      <w:r w:rsidRPr="00A53CA1">
        <w:rPr>
          <w:b/>
          <w:bCs/>
          <w:sz w:val="24"/>
          <w:szCs w:val="24"/>
        </w:rPr>
        <w:br/>
        <w:t>(Stand: 6. Oktober 2022).</w:t>
      </w:r>
    </w:p>
    <w:p w14:paraId="6273BC22" w14:textId="77777777" w:rsidR="00A53CA1" w:rsidRPr="00A53CA1" w:rsidRDefault="00A53CA1" w:rsidP="00A53CA1">
      <w:pPr>
        <w:widowControl w:val="0"/>
        <w:spacing w:before="41"/>
        <w:ind w:right="-122"/>
        <w:rPr>
          <w:b/>
          <w:bCs/>
          <w:sz w:val="24"/>
          <w:szCs w:val="24"/>
        </w:rPr>
      </w:pPr>
    </w:p>
    <w:p w14:paraId="0D05577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Unfallversicherungsgesetz (UVG) und Verordnung </w:t>
      </w:r>
      <w:proofErr w:type="spellStart"/>
      <w:r w:rsidRPr="00A53CA1">
        <w:rPr>
          <w:b/>
          <w:bCs/>
          <w:sz w:val="24"/>
          <w:szCs w:val="24"/>
        </w:rPr>
        <w:t>über</w:t>
      </w:r>
      <w:proofErr w:type="spellEnd"/>
      <w:r w:rsidRPr="00A53CA1">
        <w:rPr>
          <w:b/>
          <w:bCs/>
          <w:sz w:val="24"/>
          <w:szCs w:val="24"/>
        </w:rPr>
        <w:t xml:space="preserve"> die Unfallverhütung (VUV): Rahmenbedingungen für die Verhütung von Unfällen und Berufskrankheiten (Stand: 1. Januar 2022). </w:t>
      </w:r>
    </w:p>
    <w:p w14:paraId="20F863E4" w14:textId="77777777" w:rsidR="00A53CA1" w:rsidRPr="00A53CA1" w:rsidRDefault="00A53CA1" w:rsidP="00A53CA1">
      <w:pPr>
        <w:widowControl w:val="0"/>
        <w:spacing w:before="41"/>
        <w:ind w:right="-122"/>
        <w:rPr>
          <w:b/>
          <w:bCs/>
          <w:sz w:val="24"/>
          <w:szCs w:val="24"/>
        </w:rPr>
      </w:pPr>
    </w:p>
    <w:p w14:paraId="741CF37F"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Abfallverordnungen (VVEA, </w:t>
      </w:r>
      <w:proofErr w:type="spellStart"/>
      <w:r w:rsidRPr="00A53CA1">
        <w:rPr>
          <w:b/>
          <w:bCs/>
          <w:sz w:val="24"/>
          <w:szCs w:val="24"/>
        </w:rPr>
        <w:t>VeVA</w:t>
      </w:r>
      <w:proofErr w:type="spellEnd"/>
      <w:r w:rsidRPr="00A53CA1">
        <w:rPr>
          <w:b/>
          <w:bCs/>
          <w:sz w:val="24"/>
          <w:szCs w:val="24"/>
        </w:rPr>
        <w:t xml:space="preserve">): Regelungen zur Vermeidung, Entsorgung und zum Verkehr mit </w:t>
      </w:r>
      <w:proofErr w:type="spellStart"/>
      <w:r w:rsidRPr="00A53CA1">
        <w:rPr>
          <w:b/>
          <w:bCs/>
          <w:sz w:val="24"/>
          <w:szCs w:val="24"/>
        </w:rPr>
        <w:t>Abfällen</w:t>
      </w:r>
      <w:proofErr w:type="spellEnd"/>
      <w:r w:rsidRPr="00A53CA1">
        <w:rPr>
          <w:b/>
          <w:bCs/>
          <w:sz w:val="24"/>
          <w:szCs w:val="24"/>
        </w:rPr>
        <w:t xml:space="preserve"> (Stand: 1. Januar 2023).</w:t>
      </w:r>
    </w:p>
    <w:p w14:paraId="15B64EE4" w14:textId="77777777" w:rsidR="00A53CA1" w:rsidRPr="00A53CA1" w:rsidRDefault="00A53CA1" w:rsidP="00A53CA1">
      <w:pPr>
        <w:widowControl w:val="0"/>
        <w:spacing w:before="41"/>
        <w:ind w:right="-122"/>
        <w:rPr>
          <w:b/>
          <w:bCs/>
          <w:sz w:val="24"/>
          <w:szCs w:val="24"/>
        </w:rPr>
      </w:pPr>
    </w:p>
    <w:p w14:paraId="0DFD4F2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Asbest-Richtlinien und SUVA-Factsheets: Umfassende Anweisungen zum sicheren Umgang mit Asbest in verschiedenen Anwendungen, sowie Hinweise zur Sanierung und </w:t>
      </w:r>
      <w:proofErr w:type="spellStart"/>
      <w:r w:rsidRPr="00A53CA1">
        <w:rPr>
          <w:b/>
          <w:bCs/>
          <w:sz w:val="24"/>
          <w:szCs w:val="24"/>
        </w:rPr>
        <w:t>Rückbau</w:t>
      </w:r>
      <w:proofErr w:type="spellEnd"/>
      <w:r w:rsidRPr="00A53CA1">
        <w:rPr>
          <w:b/>
          <w:bCs/>
          <w:sz w:val="24"/>
          <w:szCs w:val="24"/>
        </w:rPr>
        <w:t xml:space="preserve"> (verschiedene </w:t>
      </w:r>
      <w:proofErr w:type="spellStart"/>
      <w:r w:rsidRPr="00A53CA1">
        <w:rPr>
          <w:b/>
          <w:bCs/>
          <w:sz w:val="24"/>
          <w:szCs w:val="24"/>
        </w:rPr>
        <w:t>Stände</w:t>
      </w:r>
      <w:proofErr w:type="spellEnd"/>
      <w:r w:rsidRPr="00A53CA1">
        <w:rPr>
          <w:b/>
          <w:bCs/>
          <w:sz w:val="24"/>
          <w:szCs w:val="24"/>
        </w:rPr>
        <w:t>).</w:t>
      </w:r>
    </w:p>
    <w:p w14:paraId="49D177B5" w14:textId="77777777" w:rsidR="00A53CA1" w:rsidRPr="00A53CA1" w:rsidRDefault="00A53CA1" w:rsidP="00A53CA1">
      <w:pPr>
        <w:widowControl w:val="0"/>
        <w:spacing w:before="41"/>
        <w:ind w:right="-122"/>
        <w:rPr>
          <w:b/>
          <w:bCs/>
          <w:sz w:val="24"/>
          <w:szCs w:val="24"/>
        </w:rPr>
      </w:pPr>
    </w:p>
    <w:p w14:paraId="03EA48FA" w14:textId="77777777" w:rsidR="00A53CA1" w:rsidRPr="00A53CA1" w:rsidRDefault="00A53CA1" w:rsidP="00A53CA1">
      <w:pPr>
        <w:pStyle w:val="Listenabsatz"/>
        <w:widowControl w:val="0"/>
        <w:numPr>
          <w:ilvl w:val="0"/>
          <w:numId w:val="10"/>
        </w:numPr>
        <w:spacing w:before="41"/>
        <w:ind w:right="-122"/>
        <w:rPr>
          <w:b/>
          <w:bCs/>
          <w:sz w:val="24"/>
          <w:szCs w:val="24"/>
        </w:rPr>
      </w:pPr>
      <w:proofErr w:type="spellStart"/>
      <w:r w:rsidRPr="00A53CA1">
        <w:rPr>
          <w:b/>
          <w:bCs/>
          <w:sz w:val="24"/>
          <w:szCs w:val="24"/>
        </w:rPr>
        <w:t>ILO-Übereinkommen</w:t>
      </w:r>
      <w:proofErr w:type="spellEnd"/>
      <w:r w:rsidRPr="00A53CA1">
        <w:rPr>
          <w:b/>
          <w:bCs/>
          <w:sz w:val="24"/>
          <w:szCs w:val="24"/>
        </w:rPr>
        <w:t xml:space="preserve"> Nr. 162: Internationale Standards zur Sicherheit bei der Verwendung von Asbest. </w:t>
      </w:r>
    </w:p>
    <w:p w14:paraId="4DFE59B7" w14:textId="77777777" w:rsidR="00A53CA1" w:rsidRPr="00A53CA1" w:rsidRDefault="00A53CA1" w:rsidP="00A53CA1">
      <w:pPr>
        <w:widowControl w:val="0"/>
        <w:spacing w:before="41"/>
        <w:ind w:right="-122"/>
        <w:rPr>
          <w:b/>
          <w:bCs/>
          <w:sz w:val="24"/>
          <w:szCs w:val="24"/>
        </w:rPr>
      </w:pPr>
    </w:p>
    <w:p w14:paraId="31C4927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PCB-Richtlinien und Wegleitungen: Spezifische Vorgaben zur sachgerechten Entfernung und Entsorgung von PCB-haltigen Materialien (Stand: 2020). </w:t>
      </w:r>
    </w:p>
    <w:p w14:paraId="5D3439B8" w14:textId="77777777" w:rsidR="00A53CA1" w:rsidRPr="00A53CA1" w:rsidRDefault="00A53CA1" w:rsidP="00A53CA1">
      <w:pPr>
        <w:widowControl w:val="0"/>
        <w:spacing w:before="41"/>
        <w:ind w:right="-122"/>
        <w:rPr>
          <w:b/>
          <w:bCs/>
          <w:sz w:val="24"/>
          <w:szCs w:val="24"/>
        </w:rPr>
      </w:pPr>
    </w:p>
    <w:p w14:paraId="37973B29"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EKAS-Richtlinie Nr. 6503 „Asbest“, SUVA, Dezember 2008.</w:t>
      </w:r>
    </w:p>
    <w:p w14:paraId="3FC55C47" w14:textId="77777777" w:rsidR="00A53CA1" w:rsidRPr="00A53CA1" w:rsidRDefault="00A53CA1" w:rsidP="00A53CA1">
      <w:pPr>
        <w:widowControl w:val="0"/>
        <w:spacing w:before="41"/>
        <w:ind w:right="-122"/>
        <w:rPr>
          <w:b/>
          <w:bCs/>
          <w:sz w:val="24"/>
          <w:szCs w:val="24"/>
        </w:rPr>
      </w:pPr>
    </w:p>
    <w:p w14:paraId="1171D51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(H)FCKW geschäumte Altdämmstoffe im Bauwesen (Müll und Abfall - Fachzeitschrift für Abfall- und Ressourcenwirtschaft, Ausgabe 04/2011,</w:t>
      </w:r>
      <w:r w:rsidRPr="00A53CA1">
        <w:rPr>
          <w:b/>
          <w:bCs/>
          <w:sz w:val="24"/>
          <w:szCs w:val="24"/>
        </w:rPr>
        <w:br/>
        <w:t>Seiten 169 - 174)</w:t>
      </w:r>
    </w:p>
    <w:p w14:paraId="570920F5" w14:textId="77777777" w:rsidR="00A53CA1" w:rsidRPr="00A53CA1" w:rsidRDefault="00A53CA1" w:rsidP="00A53CA1">
      <w:pPr>
        <w:widowControl w:val="0"/>
        <w:spacing w:before="41"/>
        <w:ind w:right="-122"/>
        <w:rPr>
          <w:b/>
          <w:bCs/>
          <w:sz w:val="24"/>
          <w:szCs w:val="24"/>
        </w:rPr>
      </w:pPr>
    </w:p>
    <w:p w14:paraId="14424108"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w:t>
      </w:r>
      <w:proofErr w:type="spellStart"/>
      <w:r w:rsidRPr="00A53CA1">
        <w:rPr>
          <w:b/>
          <w:bCs/>
          <w:sz w:val="24"/>
          <w:szCs w:val="24"/>
        </w:rPr>
        <w:t>Good</w:t>
      </w:r>
      <w:proofErr w:type="spellEnd"/>
      <w:r w:rsidRPr="00A53CA1">
        <w:rPr>
          <w:b/>
          <w:bCs/>
          <w:sz w:val="24"/>
          <w:szCs w:val="24"/>
        </w:rPr>
        <w:t xml:space="preserve"> Practice" zum Umgang mit Fliesenkleber, Verputz und </w:t>
      </w:r>
      <w:proofErr w:type="gramStart"/>
      <w:r w:rsidRPr="00A53CA1">
        <w:rPr>
          <w:b/>
          <w:bCs/>
          <w:sz w:val="24"/>
          <w:szCs w:val="24"/>
        </w:rPr>
        <w:t>Spachtelmasse  (</w:t>
      </w:r>
      <w:proofErr w:type="gramEnd"/>
      <w:r w:rsidRPr="00A53CA1">
        <w:rPr>
          <w:b/>
          <w:bCs/>
          <w:sz w:val="24"/>
          <w:szCs w:val="24"/>
        </w:rPr>
        <w:t>Stand März 2018)</w:t>
      </w:r>
    </w:p>
    <w:p w14:paraId="4CC58435" w14:textId="77777777" w:rsidR="00A53CA1" w:rsidRPr="00A53CA1" w:rsidRDefault="00A53CA1" w:rsidP="00A53CA1">
      <w:pPr>
        <w:widowControl w:val="0"/>
        <w:spacing w:before="41"/>
        <w:ind w:right="-122"/>
        <w:rPr>
          <w:b/>
          <w:bCs/>
          <w:sz w:val="24"/>
          <w:szCs w:val="24"/>
        </w:rPr>
      </w:pPr>
    </w:p>
    <w:p w14:paraId="506DB6DA"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r>
        <w:rPr>
          <w:rFonts w:ascii="Calibri" w:eastAsia="Calibri" w:hAnsi="Calibri" w:cs="Calibri"/>
          <w:b/>
          <w:color w:val="2F5496"/>
          <w:sz w:val="32"/>
          <w:szCs w:val="32"/>
        </w:rPr>
        <w:lastRenderedPageBreak/>
        <w:t>Schadstoffuntersuchung</w:t>
      </w:r>
    </w:p>
    <w:bookmarkEnd w:id="19"/>
    <w:p w14:paraId="38D3B832" w14:textId="77777777" w:rsidR="0047123B" w:rsidRDefault="0047123B" w:rsidP="0047123B">
      <w:pPr>
        <w:spacing w:line="240" w:lineRule="auto"/>
        <w:rPr>
          <w:color w:val="0070C0"/>
          <w:sz w:val="24"/>
          <w:szCs w:val="24"/>
        </w:rPr>
      </w:pPr>
    </w:p>
    <w:p w14:paraId="2D4E2058"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3" w:name="_tyjcwt" w:colFirst="0" w:colLast="0"/>
      <w:bookmarkEnd w:id="23"/>
      <w:r>
        <w:rPr>
          <w:rFonts w:ascii="Calibri" w:eastAsia="Calibri" w:hAnsi="Calibri" w:cs="Calibri"/>
          <w:b/>
          <w:color w:val="2F5496"/>
          <w:sz w:val="26"/>
          <w:szCs w:val="26"/>
        </w:rPr>
        <w:t>Ausgeführte Leistungen</w:t>
      </w:r>
    </w:p>
    <w:p w14:paraId="293BA311" w14:textId="77777777" w:rsidR="0047123B" w:rsidRDefault="0047123B" w:rsidP="0047123B">
      <w:pPr>
        <w:spacing w:line="240" w:lineRule="auto"/>
        <w:rPr>
          <w:sz w:val="24"/>
          <w:szCs w:val="24"/>
        </w:rPr>
      </w:pPr>
    </w:p>
    <w:p w14:paraId="3771F89D"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Probenahme von verdächtigen Materialien und Bausubstanz (gem. </w:t>
      </w:r>
      <w:proofErr w:type="spellStart"/>
      <w:r w:rsidRPr="00A53CA1">
        <w:rPr>
          <w:sz w:val="24"/>
          <w:szCs w:val="24"/>
        </w:rPr>
        <w:t>Good</w:t>
      </w:r>
      <w:proofErr w:type="spellEnd"/>
      <w:r w:rsidRPr="00A53CA1">
        <w:rPr>
          <w:sz w:val="24"/>
          <w:szCs w:val="24"/>
        </w:rPr>
        <w:t xml:space="preserve"> Practice März 2018)</w:t>
      </w:r>
    </w:p>
    <w:p w14:paraId="2A5B6DF0"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Fotodokumentation der verdächtigen Materialien und Bausubstanz </w:t>
      </w:r>
    </w:p>
    <w:p w14:paraId="10954DEE"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Beschreibung des Analyseauftrags und Versand der Materialproben ins Labor </w:t>
      </w:r>
    </w:p>
    <w:p w14:paraId="4ADB70B6"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Auswertung, Interpretation und Dokumentation der Analyseresultate </w:t>
      </w:r>
    </w:p>
    <w:p w14:paraId="5F7FDA5F"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Berichterstattung </w:t>
      </w:r>
    </w:p>
    <w:p w14:paraId="46E949B3"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Laboranalytik der Asbest-Proben durch die Analysis Lab SA in Biel </w:t>
      </w:r>
    </w:p>
    <w:p w14:paraId="56DA1710" w14:textId="77777777" w:rsidR="0047123B" w:rsidRDefault="0047123B" w:rsidP="0047123B">
      <w:pPr>
        <w:spacing w:line="240" w:lineRule="auto"/>
        <w:rPr>
          <w:sz w:val="24"/>
          <w:szCs w:val="24"/>
        </w:rPr>
      </w:pPr>
    </w:p>
    <w:p w14:paraId="07B397E2" w14:textId="77777777" w:rsidR="0047123B" w:rsidRDefault="0047123B" w:rsidP="0047123B">
      <w:pPr>
        <w:spacing w:line="240" w:lineRule="auto"/>
        <w:rPr>
          <w:sz w:val="24"/>
          <w:szCs w:val="24"/>
        </w:rPr>
      </w:pPr>
    </w:p>
    <w:p w14:paraId="0FD66F21"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4" w:name="_3dy6vkm" w:colFirst="0" w:colLast="0"/>
      <w:bookmarkEnd w:id="24"/>
      <w:r>
        <w:rPr>
          <w:rFonts w:ascii="Calibri" w:eastAsia="Calibri" w:hAnsi="Calibri" w:cs="Calibri"/>
          <w:b/>
          <w:color w:val="2F5496"/>
          <w:sz w:val="26"/>
          <w:szCs w:val="26"/>
        </w:rPr>
        <w:t>Probenahme und Analytik</w:t>
      </w:r>
    </w:p>
    <w:p w14:paraId="3071F70B" w14:textId="77777777" w:rsidR="0047123B" w:rsidRDefault="0047123B" w:rsidP="0047123B">
      <w:pPr>
        <w:spacing w:line="240" w:lineRule="auto"/>
        <w:rPr>
          <w:sz w:val="24"/>
          <w:szCs w:val="24"/>
        </w:rPr>
      </w:pPr>
    </w:p>
    <w:p w14:paraId="1F1F215D" w14:textId="77777777"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Default="0047123B" w:rsidP="0047123B">
      <w:pPr>
        <w:shd w:val="clear" w:color="auto" w:fill="FFFFFF"/>
        <w:spacing w:line="240" w:lineRule="auto"/>
        <w:rPr>
          <w:sz w:val="24"/>
          <w:szCs w:val="24"/>
        </w:rPr>
      </w:pPr>
      <w:r>
        <w:rPr>
          <w:sz w:val="24"/>
          <w:szCs w:val="24"/>
        </w:rPr>
        <w:br/>
      </w:r>
    </w:p>
    <w:p w14:paraId="71EF1A1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5" w:name="_1t3h5sf" w:colFirst="0" w:colLast="0"/>
      <w:bookmarkEnd w:id="25"/>
      <w:r>
        <w:rPr>
          <w:rFonts w:ascii="Calibri" w:eastAsia="Calibri" w:hAnsi="Calibri" w:cs="Calibri"/>
          <w:b/>
          <w:color w:val="2F5496"/>
          <w:sz w:val="26"/>
          <w:szCs w:val="26"/>
        </w:rPr>
        <w:t>Abgrenzung der Untersuchung</w:t>
      </w:r>
    </w:p>
    <w:p w14:paraId="7CC80CD6" w14:textId="77777777" w:rsidR="0047123B" w:rsidRDefault="0047123B" w:rsidP="0047123B">
      <w:pPr>
        <w:spacing w:line="240" w:lineRule="auto"/>
        <w:ind w:right="-122"/>
        <w:rPr>
          <w:sz w:val="24"/>
          <w:szCs w:val="24"/>
        </w:rPr>
      </w:pPr>
    </w:p>
    <w:p w14:paraId="5E494E09" w14:textId="77777777" w:rsidR="00A53CA1" w:rsidRPr="00A53CA1" w:rsidRDefault="00A53CA1" w:rsidP="00A53CA1">
      <w:pPr>
        <w:widowControl w:val="0"/>
        <w:ind w:right="-122"/>
        <w:rPr>
          <w:sz w:val="24"/>
          <w:szCs w:val="24"/>
        </w:rPr>
      </w:pPr>
      <w:r w:rsidRPr="00A53CA1">
        <w:rPr>
          <w:sz w:val="24"/>
          <w:szCs w:val="24"/>
        </w:rPr>
        <w:t>Die Bauschadstoffuntersuchung wurde aufgrund einer visuellen Begutachtung der Oberflächen durchgeführt und beschränkt sich auf die immobilen Bauteile.</w:t>
      </w:r>
    </w:p>
    <w:p w14:paraId="3D43A6DB" w14:textId="77777777" w:rsidR="00A53CA1" w:rsidRPr="00A53CA1" w:rsidRDefault="00A53CA1" w:rsidP="00A53CA1">
      <w:pPr>
        <w:widowControl w:val="0"/>
        <w:spacing w:before="7"/>
        <w:ind w:right="-122"/>
        <w:rPr>
          <w:sz w:val="24"/>
          <w:szCs w:val="24"/>
        </w:rPr>
      </w:pPr>
    </w:p>
    <w:p w14:paraId="6764F580" w14:textId="77777777" w:rsidR="00A53CA1" w:rsidRPr="00A53CA1" w:rsidRDefault="00A53CA1" w:rsidP="00A53CA1">
      <w:pPr>
        <w:widowControl w:val="0"/>
        <w:ind w:right="-122"/>
        <w:rPr>
          <w:sz w:val="24"/>
          <w:szCs w:val="24"/>
        </w:rPr>
      </w:pPr>
      <w:r w:rsidRPr="00A53CA1">
        <w:rPr>
          <w:sz w:val="24"/>
          <w:szCs w:val="24"/>
        </w:rPr>
        <w:t xml:space="preserve">Die Untersuchung bezieht sich auf die Bauschadstoffe Asbest, PCB, CP, </w:t>
      </w:r>
      <w:proofErr w:type="gramStart"/>
      <w:r w:rsidRPr="00A53CA1">
        <w:rPr>
          <w:sz w:val="24"/>
          <w:szCs w:val="24"/>
        </w:rPr>
        <w:t>PAK ,Schwermetalle</w:t>
      </w:r>
      <w:proofErr w:type="gramEnd"/>
      <w:r w:rsidRPr="00A53CA1">
        <w:rPr>
          <w:sz w:val="24"/>
          <w:szCs w:val="24"/>
        </w:rPr>
        <w:t>, FCKW und Holzschutzmittel. Weitere allfällig vorhandene Schadstoffe wie Radon, Schimmelpilze, Formaldehyd, etc. waren nicht Gegenstand der Untersuchung.</w:t>
      </w:r>
    </w:p>
    <w:p w14:paraId="272B1674" w14:textId="77777777" w:rsidR="00A53CA1" w:rsidRPr="00A53CA1" w:rsidRDefault="00A53CA1" w:rsidP="00A53CA1">
      <w:pPr>
        <w:widowControl w:val="0"/>
        <w:spacing w:before="7"/>
        <w:ind w:right="-122"/>
        <w:rPr>
          <w:sz w:val="24"/>
          <w:szCs w:val="24"/>
        </w:rPr>
      </w:pPr>
    </w:p>
    <w:p w14:paraId="3B0929A5" w14:textId="77777777" w:rsidR="00A53CA1" w:rsidRPr="00A53CA1" w:rsidRDefault="00A53CA1" w:rsidP="00A53CA1">
      <w:pPr>
        <w:widowControl w:val="0"/>
        <w:ind w:right="-122"/>
        <w:rPr>
          <w:sz w:val="24"/>
          <w:szCs w:val="24"/>
        </w:rPr>
      </w:pPr>
      <w:r w:rsidRPr="00A53CA1">
        <w:rPr>
          <w:sz w:val="24"/>
          <w:szCs w:val="24"/>
        </w:rPr>
        <w:t xml:space="preserve">Die Wahrscheinlichkeit, dass mit der gewählten Untersuchungsmethode </w:t>
      </w:r>
      <w:proofErr w:type="spellStart"/>
      <w:r w:rsidRPr="00A53CA1">
        <w:rPr>
          <w:sz w:val="24"/>
          <w:szCs w:val="24"/>
        </w:rPr>
        <w:t>grössere</w:t>
      </w:r>
      <w:proofErr w:type="spellEnd"/>
    </w:p>
    <w:p w14:paraId="698F800C" w14:textId="77777777" w:rsidR="00A53CA1" w:rsidRPr="00A53CA1" w:rsidRDefault="00A53CA1" w:rsidP="00A53CA1">
      <w:pPr>
        <w:widowControl w:val="0"/>
        <w:spacing w:before="41"/>
        <w:ind w:right="-122"/>
        <w:rPr>
          <w:sz w:val="24"/>
          <w:szCs w:val="24"/>
        </w:rPr>
      </w:pPr>
      <w:r w:rsidRPr="00A53CA1">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Default="0047123B" w:rsidP="0047123B">
      <w:pPr>
        <w:spacing w:line="240" w:lineRule="auto"/>
        <w:rPr>
          <w:sz w:val="24"/>
          <w:szCs w:val="24"/>
        </w:rPr>
      </w:pPr>
    </w:p>
    <w:p w14:paraId="7E7EF6B7" w14:textId="77777777" w:rsidR="0047123B" w:rsidRDefault="0047123B" w:rsidP="0047123B">
      <w:pPr>
        <w:spacing w:line="240" w:lineRule="auto"/>
        <w:rPr>
          <w:sz w:val="24"/>
          <w:szCs w:val="24"/>
        </w:rPr>
      </w:pPr>
    </w:p>
    <w:p w14:paraId="67CBB39A" w14:textId="77777777" w:rsidR="0047123B" w:rsidRDefault="0047123B" w:rsidP="0047123B">
      <w:pPr>
        <w:spacing w:line="240" w:lineRule="auto"/>
        <w:rPr>
          <w:sz w:val="24"/>
          <w:szCs w:val="24"/>
        </w:rPr>
      </w:pPr>
    </w:p>
    <w:p w14:paraId="0CB61528" w14:textId="77777777" w:rsidR="0047123B" w:rsidRDefault="0047123B" w:rsidP="0047123B">
      <w:pPr>
        <w:spacing w:line="240" w:lineRule="auto"/>
        <w:rPr>
          <w:sz w:val="24"/>
          <w:szCs w:val="24"/>
        </w:rPr>
      </w:pPr>
    </w:p>
    <w:p w14:paraId="40565CD3"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6" w:name="_bg4jzxuw7fx" w:colFirst="0" w:colLast="0"/>
      <w:bookmarkEnd w:id="26"/>
      <w:r>
        <w:rPr>
          <w:rFonts w:ascii="Calibri" w:eastAsia="Calibri" w:hAnsi="Calibri" w:cs="Calibri"/>
          <w:b/>
          <w:color w:val="2F5496"/>
          <w:sz w:val="32"/>
          <w:szCs w:val="32"/>
        </w:rPr>
        <w:lastRenderedPageBreak/>
        <w:t>Dringlichkeit von Massnahmen</w:t>
      </w:r>
    </w:p>
    <w:p w14:paraId="4C33D475" w14:textId="77777777" w:rsidR="0047123B" w:rsidRDefault="0047123B" w:rsidP="0047123B">
      <w:pPr>
        <w:shd w:val="clear" w:color="auto" w:fill="FFFFFF"/>
        <w:spacing w:line="240" w:lineRule="auto"/>
        <w:rPr>
          <w:sz w:val="24"/>
          <w:szCs w:val="24"/>
        </w:rPr>
      </w:pPr>
    </w:p>
    <w:p w14:paraId="7B6A631E" w14:textId="77777777"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Default="0047123B" w:rsidP="0047123B">
      <w:pPr>
        <w:shd w:val="clear" w:color="auto" w:fill="FFFFFF"/>
        <w:spacing w:line="240" w:lineRule="auto"/>
        <w:rPr>
          <w:sz w:val="24"/>
          <w:szCs w:val="24"/>
        </w:rPr>
      </w:pPr>
    </w:p>
    <w:p w14:paraId="57C216BE"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14:paraId="4BEF6278" w14:textId="77777777"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Default="0047123B" w:rsidP="0047123B">
      <w:pPr>
        <w:shd w:val="clear" w:color="auto" w:fill="FFFFFF"/>
        <w:spacing w:line="240" w:lineRule="auto"/>
        <w:rPr>
          <w:sz w:val="24"/>
          <w:szCs w:val="24"/>
        </w:rPr>
      </w:pPr>
    </w:p>
    <w:p w14:paraId="03F467B4"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14:paraId="523B1791" w14:textId="77777777"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Default="0047123B" w:rsidP="0047123B">
      <w:pPr>
        <w:shd w:val="clear" w:color="auto" w:fill="FFFFFF"/>
        <w:spacing w:line="240" w:lineRule="auto"/>
        <w:rPr>
          <w:sz w:val="24"/>
          <w:szCs w:val="24"/>
        </w:rPr>
      </w:pPr>
    </w:p>
    <w:p w14:paraId="7261889D"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14:paraId="22C2E221" w14:textId="77777777"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14:paraId="2969BF77" w14:textId="77777777" w:rsidR="0047123B" w:rsidRDefault="0047123B" w:rsidP="0047123B">
      <w:pPr>
        <w:shd w:val="clear" w:color="auto" w:fill="FFFFFF"/>
        <w:spacing w:line="240" w:lineRule="auto"/>
        <w:rPr>
          <w:b/>
          <w:sz w:val="24"/>
          <w:szCs w:val="24"/>
        </w:rPr>
      </w:pPr>
    </w:p>
    <w:p w14:paraId="58E309E7" w14:textId="77777777"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14:paraId="18FFBC4F" w14:textId="77777777" w:rsidR="0047123B" w:rsidRDefault="0047123B" w:rsidP="0047123B">
      <w:pPr>
        <w:shd w:val="clear" w:color="auto" w:fill="FFFFFF"/>
        <w:spacing w:line="240" w:lineRule="auto"/>
        <w:rPr>
          <w:b/>
          <w:sz w:val="24"/>
          <w:szCs w:val="24"/>
        </w:rPr>
      </w:pPr>
    </w:p>
    <w:p w14:paraId="25E7F0ED" w14:textId="77777777"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14:paraId="4E127FDA" w14:textId="77777777" w:rsidR="0047123B" w:rsidRDefault="0047123B" w:rsidP="0047123B">
      <w:pPr>
        <w:shd w:val="clear" w:color="auto" w:fill="FFFFFF"/>
        <w:spacing w:line="240" w:lineRule="auto"/>
        <w:rPr>
          <w:b/>
          <w:sz w:val="24"/>
          <w:szCs w:val="24"/>
        </w:rPr>
      </w:pPr>
    </w:p>
    <w:p w14:paraId="36BF9A2C" w14:textId="77777777"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14:paraId="6F8A6AD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7" w:name="_e3xy3cve4spy" w:colFirst="0" w:colLast="0"/>
      <w:bookmarkEnd w:id="27"/>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14:paraId="2C329B2B" w14:textId="77777777"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14:paraId="43BFE48D" w14:textId="77777777" w:rsidTr="004A1ED8">
        <w:tc>
          <w:tcPr>
            <w:tcW w:w="2269" w:type="dxa"/>
          </w:tcPr>
          <w:p w14:paraId="2C779644"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14:paraId="02CC79C9" w14:textId="77777777" w:rsidR="0047123B" w:rsidRDefault="0047123B" w:rsidP="004A1ED8">
            <w:pPr>
              <w:spacing w:line="240" w:lineRule="auto"/>
              <w:rPr>
                <w:rFonts w:ascii="Calibri" w:eastAsia="Calibri" w:hAnsi="Calibri" w:cs="Calibri"/>
                <w:sz w:val="24"/>
                <w:szCs w:val="24"/>
              </w:rPr>
            </w:pPr>
          </w:p>
        </w:tc>
        <w:tc>
          <w:tcPr>
            <w:tcW w:w="8222" w:type="dxa"/>
          </w:tcPr>
          <w:p w14:paraId="7968C7A4"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14:paraId="15CCEDEC" w14:textId="77777777" w:rsidTr="004A1ED8">
        <w:tc>
          <w:tcPr>
            <w:tcW w:w="2269" w:type="dxa"/>
          </w:tcPr>
          <w:p w14:paraId="33AFDD73"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14:paraId="7CCF51A6" w14:textId="77777777" w:rsidR="0047123B" w:rsidRDefault="0047123B" w:rsidP="004A1ED8">
            <w:pPr>
              <w:spacing w:line="240" w:lineRule="auto"/>
              <w:rPr>
                <w:rFonts w:ascii="Calibri" w:eastAsia="Calibri" w:hAnsi="Calibri" w:cs="Calibri"/>
                <w:sz w:val="24"/>
                <w:szCs w:val="24"/>
              </w:rPr>
            </w:pPr>
          </w:p>
        </w:tc>
        <w:tc>
          <w:tcPr>
            <w:tcW w:w="8222" w:type="dxa"/>
          </w:tcPr>
          <w:p w14:paraId="387C5B72"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14:paraId="42A78232" w14:textId="77777777" w:rsidTr="004A1ED8">
        <w:tc>
          <w:tcPr>
            <w:tcW w:w="2269" w:type="dxa"/>
          </w:tcPr>
          <w:p w14:paraId="71D0317A"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14:paraId="5B06FEBE" w14:textId="77777777" w:rsidR="0047123B" w:rsidRDefault="0047123B" w:rsidP="004A1ED8">
            <w:pPr>
              <w:spacing w:line="240" w:lineRule="auto"/>
              <w:rPr>
                <w:rFonts w:ascii="Calibri" w:eastAsia="Calibri" w:hAnsi="Calibri" w:cs="Calibri"/>
                <w:sz w:val="24"/>
                <w:szCs w:val="24"/>
              </w:rPr>
            </w:pPr>
          </w:p>
        </w:tc>
        <w:tc>
          <w:tcPr>
            <w:tcW w:w="8222" w:type="dxa"/>
          </w:tcPr>
          <w:p w14:paraId="3667AEBE"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14:paraId="6761165B" w14:textId="77777777" w:rsidTr="004A1ED8">
        <w:tc>
          <w:tcPr>
            <w:tcW w:w="2269" w:type="dxa"/>
          </w:tcPr>
          <w:p w14:paraId="2F3A8378"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14:paraId="72D25B1F" w14:textId="77777777" w:rsidR="0047123B" w:rsidRDefault="0047123B" w:rsidP="004A1ED8">
            <w:pPr>
              <w:spacing w:line="240" w:lineRule="auto"/>
              <w:rPr>
                <w:rFonts w:ascii="Calibri" w:eastAsia="Calibri" w:hAnsi="Calibri" w:cs="Calibri"/>
                <w:sz w:val="24"/>
                <w:szCs w:val="24"/>
              </w:rPr>
            </w:pPr>
          </w:p>
        </w:tc>
        <w:tc>
          <w:tcPr>
            <w:tcW w:w="8222" w:type="dxa"/>
          </w:tcPr>
          <w:p w14:paraId="0AFEADE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14:paraId="1B0C42C7" w14:textId="77777777" w:rsidTr="004A1ED8">
        <w:tc>
          <w:tcPr>
            <w:tcW w:w="2269" w:type="dxa"/>
          </w:tcPr>
          <w:p w14:paraId="12A392C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14:paraId="284391F9" w14:textId="77777777" w:rsidR="0047123B" w:rsidRDefault="0047123B" w:rsidP="004A1ED8">
            <w:pPr>
              <w:spacing w:line="240" w:lineRule="auto"/>
              <w:rPr>
                <w:rFonts w:ascii="Calibri" w:eastAsia="Calibri" w:hAnsi="Calibri" w:cs="Calibri"/>
                <w:sz w:val="24"/>
                <w:szCs w:val="24"/>
              </w:rPr>
            </w:pPr>
          </w:p>
        </w:tc>
        <w:tc>
          <w:tcPr>
            <w:tcW w:w="8222" w:type="dxa"/>
          </w:tcPr>
          <w:p w14:paraId="4343CC95"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14:paraId="25CEB6BF" w14:textId="77777777" w:rsidTr="004A1ED8">
        <w:tc>
          <w:tcPr>
            <w:tcW w:w="2269" w:type="dxa"/>
          </w:tcPr>
          <w:p w14:paraId="406A8D2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14:paraId="52B70317" w14:textId="77777777" w:rsidR="0047123B" w:rsidRDefault="0047123B" w:rsidP="004A1ED8">
            <w:pPr>
              <w:spacing w:line="240" w:lineRule="auto"/>
              <w:rPr>
                <w:rFonts w:ascii="Calibri" w:eastAsia="Calibri" w:hAnsi="Calibri" w:cs="Calibri"/>
                <w:sz w:val="24"/>
                <w:szCs w:val="24"/>
              </w:rPr>
            </w:pPr>
          </w:p>
        </w:tc>
        <w:tc>
          <w:tcPr>
            <w:tcW w:w="8222" w:type="dxa"/>
          </w:tcPr>
          <w:p w14:paraId="51FE59FA"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14:paraId="6B905CCD" w14:textId="77777777" w:rsidTr="004A1ED8">
        <w:tc>
          <w:tcPr>
            <w:tcW w:w="2269" w:type="dxa"/>
          </w:tcPr>
          <w:p w14:paraId="0645789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14:paraId="322FB2A3" w14:textId="77777777" w:rsidR="0047123B" w:rsidRDefault="0047123B" w:rsidP="004A1ED8">
            <w:pPr>
              <w:spacing w:line="240" w:lineRule="auto"/>
              <w:rPr>
                <w:rFonts w:ascii="Calibri" w:eastAsia="Calibri" w:hAnsi="Calibri" w:cs="Calibri"/>
                <w:sz w:val="24"/>
                <w:szCs w:val="24"/>
              </w:rPr>
            </w:pPr>
          </w:p>
        </w:tc>
        <w:tc>
          <w:tcPr>
            <w:tcW w:w="8222" w:type="dxa"/>
          </w:tcPr>
          <w:p w14:paraId="6AE4EE21"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14:paraId="43D7EFB5" w14:textId="77777777" w:rsidTr="004A1ED8">
        <w:tc>
          <w:tcPr>
            <w:tcW w:w="2269" w:type="dxa"/>
          </w:tcPr>
          <w:p w14:paraId="1C45053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14:paraId="1EE588EA" w14:textId="77777777" w:rsidR="0047123B" w:rsidRDefault="0047123B" w:rsidP="004A1ED8">
            <w:pPr>
              <w:spacing w:line="240" w:lineRule="auto"/>
              <w:rPr>
                <w:rFonts w:ascii="Calibri" w:eastAsia="Calibri" w:hAnsi="Calibri" w:cs="Calibri"/>
                <w:sz w:val="24"/>
                <w:szCs w:val="24"/>
              </w:rPr>
            </w:pPr>
          </w:p>
        </w:tc>
        <w:tc>
          <w:tcPr>
            <w:tcW w:w="8222" w:type="dxa"/>
          </w:tcPr>
          <w:p w14:paraId="66C2377F"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14:paraId="62CA9F0C" w14:textId="77777777" w:rsidTr="004A1ED8">
        <w:tc>
          <w:tcPr>
            <w:tcW w:w="2269" w:type="dxa"/>
          </w:tcPr>
          <w:p w14:paraId="4E13D42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14:paraId="69BF07D4" w14:textId="77777777" w:rsidR="0047123B" w:rsidRDefault="0047123B" w:rsidP="004A1ED8">
            <w:pPr>
              <w:spacing w:line="240" w:lineRule="auto"/>
              <w:rPr>
                <w:rFonts w:ascii="Calibri" w:eastAsia="Calibri" w:hAnsi="Calibri" w:cs="Calibri"/>
                <w:sz w:val="24"/>
                <w:szCs w:val="24"/>
              </w:rPr>
            </w:pPr>
          </w:p>
        </w:tc>
        <w:tc>
          <w:tcPr>
            <w:tcW w:w="8222" w:type="dxa"/>
          </w:tcPr>
          <w:p w14:paraId="609C2F2C"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14:paraId="1EE2171C" w14:textId="77777777" w:rsidTr="004A1ED8">
        <w:tc>
          <w:tcPr>
            <w:tcW w:w="2269" w:type="dxa"/>
          </w:tcPr>
          <w:p w14:paraId="12447710"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14:paraId="67986346" w14:textId="77777777" w:rsidR="0047123B" w:rsidRDefault="0047123B" w:rsidP="004A1ED8">
            <w:pPr>
              <w:spacing w:line="240" w:lineRule="auto"/>
              <w:rPr>
                <w:rFonts w:ascii="Calibri" w:eastAsia="Calibri" w:hAnsi="Calibri" w:cs="Calibri"/>
                <w:sz w:val="24"/>
                <w:szCs w:val="24"/>
              </w:rPr>
            </w:pPr>
          </w:p>
        </w:tc>
        <w:tc>
          <w:tcPr>
            <w:tcW w:w="8222" w:type="dxa"/>
          </w:tcPr>
          <w:p w14:paraId="5C2552B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14:paraId="78D7825C" w14:textId="77777777" w:rsidTr="004A1ED8">
        <w:tc>
          <w:tcPr>
            <w:tcW w:w="2269" w:type="dxa"/>
          </w:tcPr>
          <w:p w14:paraId="629D599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14:paraId="498326E9" w14:textId="77777777" w:rsidR="0047123B" w:rsidRDefault="0047123B" w:rsidP="004A1ED8">
            <w:pPr>
              <w:spacing w:line="240" w:lineRule="auto"/>
              <w:rPr>
                <w:rFonts w:ascii="Calibri" w:eastAsia="Calibri" w:hAnsi="Calibri" w:cs="Calibri"/>
                <w:sz w:val="24"/>
                <w:szCs w:val="24"/>
              </w:rPr>
            </w:pPr>
          </w:p>
        </w:tc>
        <w:tc>
          <w:tcPr>
            <w:tcW w:w="8222" w:type="dxa"/>
          </w:tcPr>
          <w:p w14:paraId="47789ACD"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14:paraId="0430844B" w14:textId="77777777" w:rsidTr="004A1ED8">
        <w:tc>
          <w:tcPr>
            <w:tcW w:w="2269" w:type="dxa"/>
            <w:shd w:val="clear" w:color="auto" w:fill="FFFF00"/>
          </w:tcPr>
          <w:p w14:paraId="7EB10618" w14:textId="77777777" w:rsidR="0047123B" w:rsidRDefault="0047123B" w:rsidP="004A1ED8">
            <w:pPr>
              <w:spacing w:line="240" w:lineRule="auto"/>
              <w:jc w:val="right"/>
              <w:rPr>
                <w:rFonts w:ascii="Calibri" w:eastAsia="Calibri" w:hAnsi="Calibri" w:cs="Calibri"/>
                <w:sz w:val="24"/>
                <w:szCs w:val="24"/>
              </w:rPr>
            </w:pPr>
          </w:p>
        </w:tc>
        <w:tc>
          <w:tcPr>
            <w:tcW w:w="283" w:type="dxa"/>
          </w:tcPr>
          <w:p w14:paraId="6843BE87" w14:textId="77777777" w:rsidR="0047123B" w:rsidRDefault="0047123B" w:rsidP="004A1ED8">
            <w:pPr>
              <w:spacing w:line="240" w:lineRule="auto"/>
              <w:rPr>
                <w:rFonts w:ascii="Calibri" w:eastAsia="Calibri" w:hAnsi="Calibri" w:cs="Calibri"/>
                <w:sz w:val="24"/>
                <w:szCs w:val="24"/>
              </w:rPr>
            </w:pPr>
          </w:p>
        </w:tc>
        <w:tc>
          <w:tcPr>
            <w:tcW w:w="8222" w:type="dxa"/>
          </w:tcPr>
          <w:p w14:paraId="09F12BF8"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14:paraId="43FF66E6" w14:textId="77777777" w:rsidTr="004A1ED8">
        <w:trPr>
          <w:trHeight w:val="119"/>
        </w:trPr>
        <w:tc>
          <w:tcPr>
            <w:tcW w:w="2269" w:type="dxa"/>
            <w:shd w:val="clear" w:color="auto" w:fill="FF0000"/>
          </w:tcPr>
          <w:p w14:paraId="544FD164" w14:textId="77777777" w:rsidR="0047123B" w:rsidRDefault="0047123B" w:rsidP="004A1ED8">
            <w:pPr>
              <w:spacing w:line="240" w:lineRule="auto"/>
              <w:rPr>
                <w:rFonts w:ascii="Calibri" w:eastAsia="Calibri" w:hAnsi="Calibri" w:cs="Calibri"/>
                <w:sz w:val="24"/>
                <w:szCs w:val="24"/>
              </w:rPr>
            </w:pPr>
          </w:p>
        </w:tc>
        <w:tc>
          <w:tcPr>
            <w:tcW w:w="283" w:type="dxa"/>
          </w:tcPr>
          <w:p w14:paraId="1520C03F" w14:textId="77777777" w:rsidR="0047123B" w:rsidRDefault="0047123B" w:rsidP="004A1ED8">
            <w:pPr>
              <w:spacing w:line="240" w:lineRule="auto"/>
              <w:rPr>
                <w:rFonts w:ascii="Calibri" w:eastAsia="Calibri" w:hAnsi="Calibri" w:cs="Calibri"/>
                <w:sz w:val="24"/>
                <w:szCs w:val="24"/>
              </w:rPr>
            </w:pPr>
          </w:p>
        </w:tc>
        <w:tc>
          <w:tcPr>
            <w:tcW w:w="8222" w:type="dxa"/>
          </w:tcPr>
          <w:p w14:paraId="247BFF57"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14:paraId="381B6B88"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28" w:name="_2s8eyo1" w:colFirst="0" w:colLast="0"/>
      <w:bookmarkEnd w:id="28"/>
      <w:r w:rsidRPr="00A53CA1">
        <w:rPr>
          <w:rFonts w:ascii="Calibri" w:eastAsia="Calibri" w:hAnsi="Calibri" w:cs="Calibri"/>
          <w:b/>
          <w:bCs/>
          <w:color w:val="2F5496"/>
          <w:sz w:val="32"/>
          <w:szCs w:val="32"/>
        </w:rPr>
        <w:lastRenderedPageBreak/>
        <w:t>Übersicht der Bauschadstoffvorkommen mit Sanierungsangaben</w:t>
      </w:r>
    </w:p>
    <w:p w14:paraId="0EF9226A" w14:textId="77777777" w:rsidR="0047123B" w:rsidRDefault="0047123B" w:rsidP="0047123B">
      <w:pPr>
        <w:pStyle w:val="berschrift1"/>
        <w:spacing w:before="240" w:after="0" w:line="240" w:lineRule="auto"/>
        <w:ind w:left="432"/>
        <w:rPr>
          <w:rFonts w:ascii="Calibri" w:eastAsia="Calibri" w:hAnsi="Calibri" w:cs="Calibri"/>
          <w:sz w:val="24"/>
          <w:szCs w:val="24"/>
        </w:rPr>
      </w:pPr>
      <w:bookmarkStart w:id="29" w:name="_3rdcrjn" w:colFirst="0" w:colLast="0"/>
      <w:bookmarkEnd w:id="29"/>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43C6C16C" w14:textId="77777777" w:rsidR="00DD43B4" w:rsidRDefault="00DD43B4">
      <w:pPr>
        <w:rPr>
          <w:rFonts w:ascii="Calibri" w:eastAsia="Calibri" w:hAnsi="Calibri" w:cs="Calibri"/>
          <w:sz w:val="24"/>
          <w:szCs w:val="24"/>
        </w:rPr>
      </w:pPr>
      <w:r>
        <w:rPr>
          <w:rFonts w:ascii="Calibri" w:eastAsia="Calibri" w:hAnsi="Calibri" w:cs="Calibri"/>
          <w:sz w:val="24"/>
          <w:szCs w:val="24"/>
        </w:rPr>
        <w:br w:type="page"/>
      </w:r>
    </w:p>
    <w:p w14:paraId="3AF71CEF"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r w:rsidRPr="00A53CA1">
        <w:rPr>
          <w:rFonts w:ascii="Calibri" w:eastAsia="Calibri" w:hAnsi="Calibri" w:cs="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Default="0047123B" w:rsidP="0047123B">
      <w:pPr>
        <w:spacing w:line="240" w:lineRule="auto"/>
        <w:rPr>
          <w:sz w:val="24"/>
          <w:szCs w:val="24"/>
        </w:rPr>
      </w:pPr>
    </w:p>
    <w:p w14:paraId="1FA5663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32" w:name="_26in1rg" w:colFirst="0" w:colLast="0"/>
      <w:bookmarkEnd w:id="32"/>
      <w:r>
        <w:rPr>
          <w:rFonts w:ascii="Calibri" w:eastAsia="Calibri" w:hAnsi="Calibri" w:cs="Calibri"/>
          <w:b/>
          <w:color w:val="2F5496"/>
          <w:sz w:val="26"/>
          <w:szCs w:val="26"/>
        </w:rPr>
        <w:t>Sanierung durch instruierte Handwerker</w:t>
      </w:r>
    </w:p>
    <w:p w14:paraId="274E4603"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43FDC159" w14:textId="77777777"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14:paraId="78EF3B09"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34" w:name="_z337ya" w:colFirst="0" w:colLast="0"/>
      <w:bookmarkEnd w:id="34"/>
      <w:r w:rsidRPr="00A53CA1">
        <w:rPr>
          <w:rFonts w:ascii="Calibri" w:eastAsia="Calibri" w:hAnsi="Calibri" w:cs="Calibri"/>
          <w:b/>
          <w:bCs/>
          <w:color w:val="2F5496"/>
          <w:sz w:val="32"/>
          <w:szCs w:val="32"/>
        </w:rPr>
        <w:lastRenderedPageBreak/>
        <w:t>Entsorgung der Schadstoffe</w:t>
      </w:r>
    </w:p>
    <w:p w14:paraId="0CB8CD6C"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14:paraId="28AD532C"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bl>
    <w:p w14:paraId="2215C53D" w14:textId="77777777" w:rsidR="0047123B" w:rsidRDefault="0047123B" w:rsidP="0047123B">
      <w:bookmarkStart w:id="35" w:name="OLE_LINK29"/>
      <w:r>
        <w:br w:type="page"/>
      </w:r>
    </w:p>
    <w:p w14:paraId="383C7F0A" w14:textId="77777777" w:rsidR="0047123B" w:rsidRPr="001F7839" w:rsidRDefault="0047123B" w:rsidP="0047123B">
      <w:r>
        <w:rPr>
          <w:rFonts w:ascii="Calibri" w:eastAsia="Calibri" w:hAnsi="Calibri" w:cs="Calibri"/>
          <w:b/>
          <w:color w:val="2F5496"/>
          <w:sz w:val="32"/>
          <w:szCs w:val="32"/>
        </w:rPr>
        <w:lastRenderedPageBreak/>
        <w:t>Empfehlung</w:t>
      </w:r>
      <w:bookmarkEnd w:id="35"/>
    </w:p>
    <w:p w14:paraId="03E28039" w14:textId="77777777" w:rsidR="0047123B" w:rsidRDefault="0047123B" w:rsidP="0047123B">
      <w:pPr>
        <w:spacing w:line="240" w:lineRule="auto"/>
        <w:rPr>
          <w:sz w:val="24"/>
          <w:szCs w:val="24"/>
        </w:rPr>
      </w:pPr>
    </w:p>
    <w:p>
      <w:pPr/>
      <w:r>
        <w:rPr>
          <w:b w:val="1"/>
          <w:bCs w:val="1"/>
        </w:rPr>
        <w:t xml:space="preserve"/>
      </w:r>
      <w:r>
        <w:rPr>
          <w:b w:val="1"/>
          <w:bCs w:val="1"/>
        </w:rPr>
        <w:t xml:space="preserve">Empfehlung für den Abschluss Kundenbericht</w:t>
      </w:r>
      <w:r>
        <w:rPr/>
        <w:t xml:space="preserve"/>
      </w:r>
      <w:br/>
      <w:r>
        <w:rPr/>
        <w:t xml:space="preserve"/>
      </w:r>
      <w:br/>
      <w:r>
        <w:rPr>
          <w:b w:val="1"/>
          <w:bCs w:val="1"/>
        </w:rPr>
        <w:t xml:space="preserve"/>
      </w:r>
      <w:r>
        <w:rPr>
          <w:b w:val="1"/>
          <w:bCs w:val="1"/>
        </w:rPr>
        <w:t xml:space="preserve">Sanierung durch Schadstoffsanierer</w:t>
      </w:r>
      <w:r>
        <w:rPr/>
        <w:t xml:space="preserve"/>
      </w:r>
      <w:br/>
      <w:r>
        <w:rPr/>
        <w:t xml:space="preserve"/>
      </w:r>
      <w:br/>
      <w:r>
        <w:rPr/>
        <w:t xml:space="preserve">1. Material "Asbest" aus dem Gebäude EG Raum 101 ist gemäss den spezifischen Richtlinien zu sanieren. Für die korrekte Entsorgung gilt der LVA Code 17 06 05.</w:t>
      </w:r>
      <w:br/>
      <w:r>
        <w:rPr/>
        <w:t xml:space="preserve"/>
      </w:r>
      <w:br/>
      <w:r>
        <w:rPr/>
        <w:t xml:space="preserve">2. Material "PCB" in Raum 203 erfordert die Expertise von ausgebildeten Schadstoffsanierern. Die Entsorgung erfolgt gemäss dem LVA Code 17 09 02.</w:t>
      </w:r>
      <w:br/>
      <w:r>
        <w:rPr/>
        <w:t xml:space="preserve"/>
      </w:r>
      <w:br/>
      <w:r>
        <w:rPr>
          <w:b w:val="1"/>
          <w:bCs w:val="1"/>
        </w:rPr>
        <w:t xml:space="preserve"/>
      </w:r>
      <w:r>
        <w:rPr>
          <w:b w:val="1"/>
          <w:bCs w:val="1"/>
        </w:rPr>
        <w:t xml:space="preserve">Sanierung durch instruierte Handwerker</w:t>
      </w:r>
      <w:r>
        <w:rPr/>
        <w:t xml:space="preserve"/>
      </w:r>
      <w:br/>
      <w:r>
        <w:rPr/>
        <w:t xml:space="preserve"/>
      </w:r>
      <w:br/>
      <w:r>
        <w:rPr/>
        <w:t xml:space="preserve">1. Faserzement aus Map 17 kann durch instruierte Handwerker unter Einhaltung der Richtlinien 33031 rückgebaut werden. Es ist mit dem LVA Code 17 06 98NK in einer Deponie B zu entsorgen.</w:t>
      </w:r>
      <w:br/>
      <w:r>
        <w:rPr/>
        <w:t xml:space="preserve"/>
      </w:r>
      <w:br/>
      <w:r>
        <w:rPr/>
        <w:t xml:space="preserve">2. Der im Raum 112 gefundene Blei-belastete Farbanstrich darf von geschultem Fachpersonal entfernt werden. Die Entsorgung erfolgt gemäss Richtlinien unter dem LVA Code 17 04 02NK.</w:t>
      </w:r>
      <w:br/>
      <w:r>
        <w:rPr/>
        <w:t xml:space="preserve"/>
      </w:r>
      <w:br/>
      <w:r>
        <w:rPr/>
        <w:t xml:space="preserve">Es wird empfohlen, die Sanierungsarbeiten strikt gemäss den aktuellen Richtlinien und unter Einhaltung der jeweiligen Entsorgungskodizes durchzuführen, um die Sicherheit aller beteiligten Personen zu gewährleisten und Umweltstandards zu erfüllen.</w:t>
      </w:r>
      <w:br/>
    </w:p>
    <w:p w14:paraId="5D954B69" w14:textId="77777777"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7" w:name="_1ksv4uv" w:colFirst="0" w:colLast="0"/>
      <w:bookmarkEnd w:id="0"/>
      <w:bookmarkEnd w:id="37"/>
    </w:p>
    <w:p w14:paraId="437ADC1A" w14:textId="77777777" w:rsidR="003568DE" w:rsidRPr="008824DE" w:rsidRDefault="003568DE" w:rsidP="003568DE">
      <w:pPr>
        <w:spacing w:line="240" w:lineRule="auto"/>
        <w:rPr>
          <w:sz w:val="24"/>
          <w:szCs w:val="24"/>
        </w:rPr>
      </w:pPr>
      <w:bookmarkStart w:id="38" w:name="OLE_LINK2"/>
      <w:r>
        <w:rPr>
          <w:rFonts w:ascii="Calibri" w:eastAsia="Calibri" w:hAnsi="Calibri" w:cs="Calibri"/>
          <w:b/>
          <w:color w:val="2F5496"/>
          <w:sz w:val="32"/>
          <w:szCs w:val="32"/>
        </w:rPr>
        <w:lastRenderedPageBreak/>
        <w:t>Zusätzliche Beigaben</w:t>
      </w:r>
    </w:p>
    <w:p w14:paraId="5B5AACEE" w14:textId="77777777"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WC
</w:t>
            </w:r>
          </w:p>
          <w:p>
            <w:pPr/>
            <w:r>
              <w:rPr/>
              <w:t xml:space="preserve">EG
</w:t>
            </w:r>
          </w:p>
        </w:tc>
        <w:tc>
          <w:tcPr>
            <w:noWrap/>
          </w:tcPr>
          <w:p>
            <w:pPr/>
            <w:r>
              <w:rPr/>
              <w:t xml:space="preserve">VM-1
</w:t>
            </w:r>
          </w:p>
          <w:p>
            <w:pPr/>
            <w:r>
              <w:rPr/>
              <w:t xml:space="preserve">Plattenkleber
</w:t>
            </w:r>
          </w:p>
          <w:p>
            <w:pPr/>
            <w:r>
              <w:rPr/>
              <w:t xml:space="preserve">Wand / Boden
</w:t>
            </w:r>
          </w:p>
        </w:tc>
        <w:tc>
          <w:tcPr>
            <w:noWrap/>
          </w:tcPr>
          <w:p>
            <w:pPr/>
            <w:r>
              <w:rPr/>
              <w:t xml:space="preserve"/>
            </w:r>
          </w:p>
        </w:tc>
        <w:tc>
          <w:tcPr>
            <w:noWrap/>
          </w:tcPr>
          <w:p>
            <w:pPr/>
            <w:r>
              <w:rPr/>
              <w:t xml:space="preserve"/>
              <w:pict>
                <v:shape type="#_x0000_t75" style="width:100px;height:150px" stroked="f" filled="f">
                  <v:imagedata r:id="rId12" o:title=""/>
                </v:shape>
              </w:pict>
              <w:t xml:space="preserve"/>
            </w:r>
          </w:p>
        </w:tc>
        <w:tc>
          <w:tcPr>
            <w:noWrap/>
          </w:tcPr>
          <w:p>
            <w:pPr/>
            <w:r>
              <w:rPr/>
              <w:t xml:space="preserve"/>
              <w:pict>
                <v:shape type="#_x0000_t75" style="width:100px;height:150px" stroked="f" filled="f">
                  <v:imagedata r:id="rId13" o:title=""/>
                </v:shape>
              </w:pict>
              <w:t xml:space="preserve"/>
            </w:r>
          </w:p>
        </w:tc>
      </w:tr>
      <w:tr>
        <w:trPr/>
        <w:tc>
          <w:tcPr>
            <w:shd w:val="clear"/>
            <w:noWrap/>
          </w:tcPr>
          <w:p>
            <w:pPr/>
            <w:r>
              <w:rPr/>
              <w:t xml:space="preserve">MaP-2</w:t>
            </w:r>
          </w:p>
        </w:tc>
        <w:tc>
          <w:tcPr>
            <w:noWrap/>
          </w:tcPr>
          <w:p>
            <w:pPr/>
            <w:r>
              <w:rPr/>
              <w:t xml:space="preserve">WC
</w:t>
            </w:r>
          </w:p>
          <w:p>
            <w:pPr/>
            <w:r>
              <w:rPr/>
              <w:t xml:space="preserve">EG
</w:t>
            </w:r>
          </w:p>
        </w:tc>
        <w:tc>
          <w:tcPr>
            <w:noWrap/>
          </w:tcPr>
          <w:p>
            <w:pPr/>
            <w:r>
              <w:rPr/>
              <w:t xml:space="preserve">VM-2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4" o:title=""/>
                </v:shape>
              </w:pict>
              <w:t xml:space="preserve"/>
            </w:r>
          </w:p>
        </w:tc>
        <w:tc>
          <w:tcPr>
            <w:noWrap/>
          </w:tcPr>
          <w:p>
            <w:pPr/>
            <w:r>
              <w:rPr/>
              <w:t xml:space="preserve"/>
              <w:pict>
                <v:shape type="#_x0000_t75" style="width:100px;height:150px" stroked="f" filled="f">
                  <v:imagedata r:id="rId15" o:title=""/>
                </v:shape>
              </w:pict>
              <w:t xml:space="preserve"/>
            </w:r>
          </w:p>
        </w:tc>
      </w:tr>
      <w:tr>
        <w:trPr/>
        <w:tc>
          <w:tcPr>
            <w:shd w:val="clear"/>
            <w:noWrap/>
          </w:tcPr>
          <w:p>
            <w:pPr/>
            <w:r>
              <w:rPr/>
              <w:t xml:space="preserve">MaP-3</w:t>
            </w:r>
          </w:p>
        </w:tc>
        <w:tc>
          <w:tcPr>
            <w:noWrap/>
          </w:tcPr>
          <w:p>
            <w:pPr/>
            <w:r>
              <w:rPr/>
              <w:t xml:space="preserve">WC
</w:t>
            </w:r>
          </w:p>
          <w:p>
            <w:pPr/>
            <w:r>
              <w:rPr/>
              <w:t xml:space="preserve">EG
</w:t>
            </w:r>
          </w:p>
        </w:tc>
        <w:tc>
          <w:tcPr>
            <w:noWrap/>
          </w:tcPr>
          <w:p>
            <w:pPr/>
            <w:r>
              <w:rPr/>
              <w:t xml:space="preserve">VM-3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16" o:title=""/>
                </v:shape>
              </w:pict>
              <w:t xml:space="preserve"/>
            </w:r>
          </w:p>
        </w:tc>
        <w:tc>
          <w:tcPr>
            <w:noWrap/>
          </w:tcPr>
          <w:p>
            <w:pPr/>
            <w:r>
              <w:rPr/>
              <w:t xml:space="preserve"/>
              <w:pict>
                <v:shape type="#_x0000_t75" style="width:100px;height:150px" stroked="f" filled="f">
                  <v:imagedata r:id="rId17" o:title=""/>
                </v:shape>
              </w:pict>
              <w:t xml:space="preserve"/>
            </w:r>
          </w:p>
        </w:tc>
      </w:tr>
    </w:tbl>
    <w:p w14:paraId="32FE07C9" w14:textId="77777777" w:rsidR="009641C4" w:rsidRDefault="009641C4">
      <w:pPr>
        <w:rPr>
          <w:sz w:val="24"/>
          <w:szCs w:val="24"/>
        </w:rPr>
      </w:pPr>
      <w:r>
        <w:rPr>
          <w:sz w:val="24"/>
          <w:szCs w:val="24"/>
        </w:rPr>
        <w:br w:type="page"/>
      </w:r>
    </w:p>
    <w:p w14:paraId="567D807C" w14:textId="77777777"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r>
      <w:bookmarkEnd w:id="38"/>
    </w:p>
    <w:p w14:paraId="27B7066A" w14:textId="77777777" w:rsidR="00D7736E" w:rsidRDefault="009C7A42">
      <w:pPr>
        <w:keepNext/>
        <w:keepLines/>
        <w:spacing w:before="240" w:after="240" w:line="240" w:lineRule="auto"/>
      </w:pPr>
      <w:r>
        <w:rPr>
          <w:sz w:val="26"/>
          <w:szCs w:val="26"/>
        </w:rPr>
        <w:lastRenderedPageBreak/>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