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Tiergartenstrasse 14 8802 Kilchberg ZH</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182</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Angela John</w:t>
            </w:r>
            <w:bookmarkEnd w:id="12"/>
            <w:r w:rsidRPr="00A53CA1">
              <w:rPr>
                <w:sz w:val="24"/>
                <w:szCs w:val="24"/>
                <w:lang w:val="en-GB"/>
              </w:rPr>
              <w:t xml:space="preserve"> </w:t>
            </w:r>
            <w:bookmarkStart w:id="13" w:name="OLE_LINK13"/>
            <w:r w:rsidRPr="00A53CA1">
              <w:rPr>
                <w:sz w:val="24"/>
                <w:szCs w:val="24"/>
                <w:lang w:val="en-GB"/>
              </w:rPr>
              <w:t>0787981234</w:t>
            </w:r>
            <w:bookmarkEnd w:id="13"/>
          </w:p>
          <w:p w14:paraId="13E892BD" w14:textId="77777777" w:rsidR="0047123B" w:rsidRDefault="0047123B" w:rsidP="004A1ED8">
            <w:pPr>
              <w:widowControl w:val="0"/>
              <w:spacing w:line="240" w:lineRule="auto"/>
              <w:rPr>
                <w:sz w:val="24"/>
                <w:szCs w:val="24"/>
              </w:rPr>
            </w:pPr>
            <w:r>
              <w:rPr>
                <w:sz w:val="24"/>
                <w:szCs w:val="24"/>
              </w:rPr>
              <w:t>angela.john@gmx.ch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22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b w:val="1"/>
          <w:bCs w:val="1"/>
        </w:rPr>
        <w:t xml:space="preserve"/>
      </w:r>
      <w:r>
        <w:rPr>
          <w:b w:val="1"/>
          <w:bCs w:val="1"/>
        </w:rPr>
        <w:t xml:space="preserve">Empfehlung für den Abschluss Kundenbericht</w:t>
      </w:r>
      <w:r>
        <w:rPr/>
        <w:t xml:space="preserve"/>
      </w:r>
      <w:br/>
      <w:r>
        <w:rPr/>
        <w:t xml:space="preserve"/>
      </w:r>
      <w:br/>
      <w:r>
        <w:rPr>
          <w:b w:val="1"/>
          <w:bCs w:val="1"/>
        </w:rPr>
        <w:t xml:space="preserve"/>
      </w:r>
      <w:r>
        <w:rPr>
          <w:b w:val="1"/>
          <w:bCs w:val="1"/>
        </w:rPr>
        <w:t xml:space="preserve">Sanierung durch Schadstoffsanierer</w:t>
      </w:r>
      <w:r>
        <w:rPr/>
        <w:t xml:space="preserve"/>
      </w:r>
      <w:br/>
      <w:r>
        <w:rPr/>
        <w:t xml:space="preserve"/>
      </w:r>
      <w:br/>
      <w:r>
        <w:rPr/>
        <w:t xml:space="preserve">1. Material "Asbest" aus dem Gebäude EG Raum 101 ist gemäss den spezifischen Richtlinien zu sanieren. Für die korrekte Entsorgung gilt der LVA Code 17 06 05.</w:t>
      </w:r>
      <w:br/>
      <w:r>
        <w:rPr/>
        <w:t xml:space="preserve"/>
      </w:r>
      <w:br/>
      <w:r>
        <w:rPr/>
        <w:t xml:space="preserve">2. Material "PCB" in Raum 203 erfordert die Expertise von ausgebildeten Schadstoffsanierern. Die Entsorgung erfolgt gemäss dem LVA Code 17 09 02.</w:t>
      </w:r>
      <w:br/>
      <w:r>
        <w:rPr/>
        <w:t xml:space="preserve"/>
      </w:r>
      <w:br/>
      <w:r>
        <w:rPr>
          <w:b w:val="1"/>
          <w:bCs w:val="1"/>
        </w:rPr>
        <w:t xml:space="preserve"/>
      </w:r>
      <w:r>
        <w:rPr>
          <w:b w:val="1"/>
          <w:bCs w:val="1"/>
        </w:rPr>
        <w:t xml:space="preserve">Sanierung durch instruierte Handwerker</w:t>
      </w:r>
      <w:r>
        <w:rPr/>
        <w:t xml:space="preserve"/>
      </w:r>
      <w:br/>
      <w:r>
        <w:rPr/>
        <w:t xml:space="preserve"/>
      </w:r>
      <w:br/>
      <w:r>
        <w:rPr/>
        <w:t xml:space="preserve">1. Faserzement aus Map 17 kann durch instruierte Handwerker unter Einhaltung der Richtlinien 33031 rückgebaut werden. Es ist mit dem LVA Code 17 06 98NK in einer Deponie B zu entsorgen.</w:t>
      </w:r>
      <w:br/>
      <w:r>
        <w:rPr/>
        <w:t xml:space="preserve"/>
      </w:r>
      <w:br/>
      <w:r>
        <w:rPr/>
        <w:t xml:space="preserve">2. Der im Raum 112 gefundene Blei-belastete Farbanstrich darf von geschultem Fachpersonal entfernt werden. Die Entsorgung erfolgt gemäss Richtlinien unter dem LVA Code 17 04 02NK.</w:t>
      </w:r>
      <w:br/>
      <w:r>
        <w:rPr/>
        <w:t xml:space="preserve"/>
      </w:r>
      <w:br/>
      <w:r>
        <w:rPr/>
        <w:t xml:space="preserve">Es wird empfohlen, die Sanierungsarbeiten strikt gemäss den aktuellen Richtlinien und unter Einhaltung der jeweiligen Entsorgungskodizes durchzuführen, um die Sicherheit aller beteiligten Personen zu gewährleisten und Umweltstandards zu erfüllen.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WC
</w:t>
            </w:r>
          </w:p>
          <w:p>
            <w:pPr/>
            <w:r>
              <w:rPr/>
              <w:t xml:space="preserve">EG
</w:t>
            </w:r>
          </w:p>
        </w:tc>
        <w:tc>
          <w:tcPr>
            <w:noWrap/>
          </w:tcPr>
          <w:p>
            <w:pPr/>
            <w:r>
              <w:rPr/>
              <w:t xml:space="preserve">VM-1
</w:t>
            </w:r>
          </w:p>
          <w:p>
            <w:pPr/>
            <w:r>
              <w:rPr/>
              <w:t xml:space="preserve">Plattenkleber
</w:t>
            </w:r>
          </w:p>
          <w:p>
            <w:pPr/>
            <w:r>
              <w:rPr/>
              <w:t xml:space="preserve">Wand / Boden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WC
</w:t>
            </w:r>
          </w:p>
          <w:p>
            <w:pPr/>
            <w:r>
              <w:rPr/>
              <w:t xml:space="preserve">EG
</w:t>
            </w:r>
          </w:p>
        </w:tc>
        <w:tc>
          <w:tcPr>
            <w:noWrap/>
          </w:tcPr>
          <w:p>
            <w:pPr/>
            <w:r>
              <w:rPr/>
              <w:t xml:space="preserve">VM-2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WC
</w:t>
            </w:r>
          </w:p>
          <w:p>
            <w:pPr/>
            <w:r>
              <w:rPr/>
              <w:t xml:space="preserve">EG
</w:t>
            </w:r>
          </w:p>
        </w:tc>
        <w:tc>
          <w:tcPr>
            <w:noWrap/>
          </w:tcPr>
          <w:p>
            <w:pPr/>
            <w:r>
              <w:rPr/>
              <w:t xml:space="preserve">VM-3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