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Strandweg 17 8807 Freienbach</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167</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Immo Traeum AG</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Anna K. Jehli</w:t>
            </w:r>
            <w:bookmarkEnd w:id="12"/>
            <w:r w:rsidRPr="00A53CA1">
              <w:rPr>
                <w:sz w:val="24"/>
                <w:szCs w:val="24"/>
                <w:lang w:val="en-GB"/>
              </w:rPr>
              <w:t xml:space="preserve"> </w:t>
            </w:r>
            <w:bookmarkStart w:id="13" w:name="OLE_LINK13"/>
            <w:r w:rsidRPr="00A53CA1">
              <w:rPr>
                <w:sz w:val="24"/>
                <w:szCs w:val="24"/>
                <w:lang w:val="en-GB"/>
              </w:rPr>
              <w:t>0446877134</w:t>
            </w:r>
            <w:bookmarkEnd w:id="13"/>
          </w:p>
          <w:p w14:paraId="13E892BD" w14:textId="77777777" w:rsidR="0047123B" w:rsidRDefault="0047123B" w:rsidP="004A1ED8">
            <w:pPr>
              <w:widowControl w:val="0"/>
              <w:spacing w:line="240" w:lineRule="auto"/>
              <w:rPr>
                <w:sz w:val="24"/>
                <w:szCs w:val="24"/>
              </w:rPr>
            </w:pPr>
            <w:r>
              <w:rPr>
                <w:sz w:val="24"/>
                <w:szCs w:val="24"/>
              </w:rPr>
              <w:t>info@immo-traeum.li</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17 February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 17 kann durch instruierte Handwerker unter Einhaltung der Richtlinien 33031 rückgebaut werden und ist mit dem LVA-Code 17 06 98nk in einer Deponie B zu entsorgen.</w:t>
      </w:r>
      <w:br/>
      <w:r>
        <w:rPr/>
        <w:t xml:space="preserve"/>
      </w:r>
      <w:br/>
      <w:r>
        <w:rPr/>
        <w:t xml:space="preserve">PVC-Bodenbeläge aus Map 18 sind von Schadstoffsanierern sachgerecht zu entfernen, gemäss den Richtlinien 33030, und als Sondermüll mittels LVA-Code 17 02 03nk zu entsorgen.</w:t>
      </w:r>
      <w:br/>
      <w:r>
        <w:rPr/>
        <w:t xml:space="preserve"/>
      </w:r>
      <w:br/>
      <w:r>
        <w:rPr/>
        <w:t xml:space="preserve">Bituminöse Dachbahnen aus Map 19 sollten von spezialisierten Schadstoffsanierern unter Beachtung der Richtlinien 33100 sicher entfernt werden; die Entsorgung erfolgt als gefährlicher Abfall mit dem LVA-Code 17 03 82.</w:t>
      </w:r>
      <w:br/>
      <w:r>
        <w:rPr/>
        <w:t xml:space="preserve"/>
      </w:r>
      <w:br/>
      <w:r>
        <w:rPr/>
        <w:t xml:space="preserve">Mineralwolle aus Map 20 kann durch instruierte Handwerker zurückgebaut werden, wobei die Richtlinien 33100 zu beachten sind; die Entsorgung erfolgt mit dem LVA-Code 17 06 04 und kann in einer Deponie D durchgeführt werden.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3. OG
</w:t>
            </w:r>
          </w:p>
        </w:tc>
        <w:tc>
          <w:tcPr>
            <w:noWrap/>
          </w:tcPr>
          <w:p>
            <w:pPr/>
            <w:r>
              <w:rPr/>
              <w:t xml:space="preserve">VM-1
</w:t>
            </w:r>
          </w:p>
          <w:p>
            <w:pPr/>
            <w:r>
              <w:rPr/>
              <w:t xml:space="preserve">(elastische) Bodenbeläge
</w:t>
            </w:r>
          </w:p>
          <w:p>
            <w:pPr/>
            <w:r>
              <w:rPr/>
              <w:t xml:space="preserve">Wand / Boden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