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Gemeindestrasse 73, 8032 Zürich</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162</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MaRe Architekten</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Marius</w:t>
            </w:r>
            <w:bookmarkEnd w:id="12"/>
            <w:r w:rsidRPr="00A53CA1">
              <w:rPr>
                <w:sz w:val="24"/>
                <w:szCs w:val="24"/>
                <w:lang w:val="en-GB"/>
              </w:rPr>
              <w:t xml:space="preserve"> </w:t>
            </w:r>
            <w:bookmarkStart w:id="13" w:name="OLE_LINK13"/>
            <w:r w:rsidRPr="00A53CA1">
              <w:rPr>
                <w:sz w:val="24"/>
                <w:szCs w:val="24"/>
                <w:lang w:val="en-GB"/>
              </w:rPr>
              <w:t>0762001986</w:t>
            </w:r>
            <w:bookmarkEnd w:id="13"/>
          </w:p>
          <w:p w14:paraId="13E892BD" w14:textId="77777777" w:rsidR="0047123B" w:rsidRDefault="0047123B" w:rsidP="004A1ED8">
            <w:pPr>
              <w:widowControl w:val="0"/>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07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 Dieses Material enthält Asbestfasern und erfordert daher sorgfältige Handhabung und Umsetzung geeigneter Schutzmassnahmen, um Gesundheitsrisiken zu minimieren.</w:t>
      </w:r>
      <w:br/>
      <w:r>
        <w:rPr/>
        <w:t xml:space="preserve"/>
      </w:r>
      <w:br/>
      <w:r>
        <w:rPr/>
        <w:t xml:space="preserve">Flexplatten aus Map 18 sollten ausschliesslich durch erfahrene Schadstoffsanierer entfernt werden, da sie in erheblichem Masse Asbest enthalten. Entsorgung erfolgt gemäss Richtlinien 66122 und dem LVA Code 17 06 05, um eine sichere und vorschriftsgemässe Behandlung zu gewährleisten.</w:t>
      </w:r>
      <w:br/>
      <w:r>
        <w:rPr/>
        <w:t xml:space="preserve"/>
      </w:r>
      <w:br/>
      <w:r>
        <w:rPr/>
        <w:t xml:space="preserve">PCB-haltige Dichtungen aus Map 19 bedürfen einer Entfernung durch qualifizierte Schadstoffexperten, entsprechend den Richtlinien 44152 und dem LVA Code 17 09 02. Die sorgfältige Sanierung verhindert die Freisetzung von PCB, einem umweltschädlichen Stoff, in die Umgebung.</w:t>
      </w:r>
      <w:br/>
      <w:r>
        <w:rPr/>
        <w:t xml:space="preserve"/>
      </w:r>
      <w:br/>
      <w:r>
        <w:rPr/>
        <w:t xml:space="preserve">Bitumendachbahnen aus Map 20 können von instruierten Handwerkern rückgebaut werden, wobei die Richtlinien 55011 einzuhalten sind, und sind mit dem LVA Code 17 06 03 in einer Deponie D zu entsorgen. Diese Materialien bergen ein geringeres Risiko, dennoch sind ausreichende Schutzvorkehrungen zu beachten.</w:t>
      </w:r>
      <w:br/>
      <w:r>
        <w:rPr/>
        <w:t xml:space="preserve"/>
      </w:r>
      <w:br/>
      <w:r>
        <w:rPr/>
        <w:t xml:space="preserve">Styropordämmungen aus Map 21, die HBCD enthalten, müssen durch Experten unter Beachtung der Richtlinien 34062 und dem LVA Code 17 06 04 entsorgt werden. HBCD ist ein persistenter organischer Schadstoff, der in die Umwelt gelangen kann und somit eine fachgerechte Handhabung notwendig macht.</w:t>
      </w:r>
      <w:br/>
      <w:r>
        <w:rPr/>
        <w:t xml:space="preserve"/>
      </w:r>
      <w:br/>
      <w:r>
        <w:rPr/>
        <w:t xml:space="preserve">Teerhaltige Beschichtungen aus Map 22 werden durch Schadstoffsanierer gemäss Richtlinien 45023 und mit dem LVA Code 17 03 01 behandelt. Diese bringen erhebliche gesundheitliche Risiken mit sich und bedürfen einer besonders vorsichtigen Entfernung.</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Verkaufsladen
</w:t>
            </w:r>
          </w:p>
          <w:p>
            <w:pPr/>
            <w:r>
              <w:rPr/>
              <w:t xml:space="preserve">EG
</w:t>
            </w:r>
          </w:p>
        </w:tc>
        <w:tc>
          <w:tcPr>
            <w:noWrap/>
          </w:tcPr>
          <w:p>
            <w:pPr/>
            <w:r>
              <w:rPr/>
              <w:t xml:space="preserve">VM-1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MaP-2</w:t>
            </w:r>
          </w:p>
        </w:tc>
        <w:tc>
          <w:tcPr>
            <w:noWrap/>
          </w:tcPr>
          <w:p>
            <w:pPr/>
            <w:r>
              <w:rPr/>
              <w:t xml:space="preserve">Verkaufsladen
</w:t>
            </w:r>
          </w:p>
          <w:p>
            <w:pPr/>
            <w:r>
              <w:rPr/>
              <w:t xml:space="preserve">EG
</w:t>
            </w:r>
          </w:p>
        </w:tc>
        <w:tc>
          <w:tcPr>
            <w:noWrap/>
          </w:tcPr>
          <w:p>
            <w:pPr/>
            <w:r>
              <w:rPr/>
              <w:t xml:space="preserve">VM-2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MaP-3</w:t>
            </w:r>
          </w:p>
        </w:tc>
        <w:tc>
          <w:tcPr>
            <w:noWrap/>
          </w:tcPr>
          <w:p>
            <w:pPr/>
            <w:r>
              <w:rPr/>
              <w:t xml:space="preserve">Verkaufsladen
</w:t>
            </w:r>
          </w:p>
          <w:p>
            <w:pPr/>
            <w:r>
              <w:rPr/>
              <w:t xml:space="preserve">EG
</w:t>
            </w:r>
          </w:p>
        </w:tc>
        <w:tc>
          <w:tcPr>
            <w:noWrap/>
          </w:tcPr>
          <w:p>
            <w:pPr/>
            <w:r>
              <w:rPr/>
              <w:t xml:space="preserve">VM-3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MaP-4</w:t>
            </w:r>
          </w:p>
        </w:tc>
        <w:tc>
          <w:tcPr>
            <w:noWrap/>
          </w:tcPr>
          <w:p>
            <w:pPr/>
            <w:r>
              <w:rPr/>
              <w:t xml:space="preserve">Verkaufsladen
</w:t>
            </w:r>
          </w:p>
          <w:p>
            <w:pPr/>
            <w:r>
              <w:rPr/>
              <w:t xml:space="preserve">EG
</w:t>
            </w:r>
          </w:p>
        </w:tc>
        <w:tc>
          <w:tcPr>
            <w:noWrap/>
          </w:tcPr>
          <w:p>
            <w:pPr/>
            <w:r>
              <w:rPr/>
              <w:t xml:space="preserve">VM-4
</w:t>
            </w:r>
          </w:p>
          <w:p>
            <w:pPr/>
            <w:r>
              <w:rPr/>
              <w:t xml:space="preserve">(elastische) Bodenbeläge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