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Dorfstrasse 20, 9305 Berg,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Mit Claudio besprechen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 Huber Holzbau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Urs Huber  Dorfstrasse 20  9305 Berg SG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 Huber Holzbau GmbH</w:t>
            </w:r>
            <w:bookmarkEnd w:id="12"/>
            <w:r w:rsidRPr="00FF365E">
              <w:rPr>
                <w:sz w:val="24"/>
                <w:szCs w:val="24"/>
                <w:lang w:val="en-GB"/>
              </w:rPr>
              <w:t xml:space="preserve"> </w:t>
            </w:r>
            <w:bookmarkStart w:id="13" w:name="OLE_LINK13"/>
            <w:r w:rsidRPr="00FF365E">
              <w:rPr>
                <w:sz w:val="24"/>
                <w:szCs w:val="24"/>
                <w:lang w:val="en-GB"/>
              </w:rPr>
              <w:t xml:space="preserve">Urs Huber  Dorfstrasse 20  9305 Berg SG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2026-08-31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kopiere die Tabellenzeilen inklusive der zugehörigen Daten hier hinein. Aktuell sind nur die Tabellenüberschriften vorhanden; deshalb können noch keine materialspezifischen Sätze erstellt werden.</w:t>
      </w:r>
      <w:br/>
      <w:r>
        <w:rPr>
          <w:sz w:val="24"/>
          <w:szCs w:val="24"/>
        </w:rPr>
        <w:t xml:space="preserve"/>
      </w:r>
      <w:br/>
      <w:r>
        <w:rPr>
          <w:sz w:val="24"/>
          <w:szCs w:val="24"/>
        </w:rPr>
        <w:t xml:space="preserve">Ich formuliere danach pro Material genau zwei Sätze, beispielsweise:</w:t>
      </w:r>
      <w:br/>
      <w:r>
        <w:rPr>
          <w:sz w:val="24"/>
          <w:szCs w:val="24"/>
        </w:rPr>
        <w:t xml:space="preserve"/>
      </w:r>
      <w:br/>
      <w:r>
        <w:rPr>
          <w:sz w:val="24"/>
          <w:szCs w:val="24"/>
          <w:b w:val="1"/>
          <w:bCs w:val="1"/>
        </w:rPr>
        <w:t xml:space="preserve"/>
      </w:r>
      <w:r>
        <w:rPr>
          <w:sz w:val="24"/>
          <w:szCs w:val="24"/>
          <w:b w:val="1"/>
          <w:bCs w:val="1"/>
        </w:rPr>
        <w:t xml:space="preserve">Probe-ID – Material:</w:t>
      </w:r>
      <w:r>
        <w:rPr>
          <w:sz w:val="24"/>
          <w:szCs w:val="24"/>
        </w:rPr>
        <w:t xml:space="preserve"> Das Material kann durch instruierte Handwerker unter Einhaltung der Richtlinien rückgebaut werden. Es ist unter Verwendung des entsprechenden LVA-Codes in einer Deponie des angegebenen Typs zu entsorgen.</w:t>
      </w:r>
      <w:br/>
      <w:r>
        <w:rPr>
          <w:sz w:val="24"/>
          <w:szCs w:val="24"/>
        </w:rPr>
        <w:t xml:space="preserve"/>
      </w:r>
      <w:br/>
      <w:r>
        <w:rPr>
          <w:sz w:val="24"/>
          <w:szCs w:val="24"/>
          <w:b w:val="1"/>
          <w:bCs w:val="1"/>
        </w:rPr>
        <w:t xml:space="preserve">Die Ausgabe erfolgt in schweizer Rechtschreibung mit </w:t>
      </w:r>
      <w:r>
        <w:rPr>
          <w:sz w:val="24"/>
          <w:szCs w:val="24"/>
          <w:b w:val="1"/>
          <w:bCs w:val="1"/>
        </w:rPr>
        <w:t xml:space="preserve">fett formatierter Probe-ID und Materialbezeichnung</w:t>
      </w:r>
      <w:r>
        <w:rPr>
          <w:sz w:val="24"/>
          <w:szCs w:val="24"/>
        </w:rPr>
        <w:t xml:space="preserv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 Boden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Fassade Riegel
</w:t>
            </w:r>
          </w:p>
          <w:p>
            <w:pPr/>
            <w:r>
              <w:rPr/>
              <w:t xml:space="preserve">OG-DG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EG-UG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