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Agetenacker 4, 9203 Niederwil, SG,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1927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Verwaltung STWEG Agetenacker 4</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Verwaltung STWEG Agetenacker 4, S. &amp; P. Praudisch, Agetenacker 4, 9203 Niederwil SG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Verwaltung STWEG Agetenacker 4</w:t>
            </w:r>
            <w:bookmarkEnd w:id="12"/>
            <w:r w:rsidRPr="00FF365E">
              <w:rPr>
                <w:sz w:val="24"/>
                <w:szCs w:val="24"/>
                <w:lang w:val="en-GB"/>
              </w:rPr>
              <w:t xml:space="preserve"> </w:t>
            </w:r>
            <w:bookmarkStart w:id="13" w:name="OLE_LINK13"/>
            <w:r w:rsidRPr="00FF365E">
              <w:rPr>
                <w:sz w:val="24"/>
                <w:szCs w:val="24"/>
                <w:lang w:val="en-GB"/>
              </w:rPr>
              <w:t xml:space="preserve">Verwaltung STWEG Agetenacker 4, S. &amp; P. Praudisch, Agetenacker 4, 9203 Niederwil SG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einkopierten Tabelle sind keine Material- oder Sanierungsangaben enthalten, sondern lediglich die Tabellenüberschriften. Daher können keine Sätze pro Material formuliert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 Wohnung
</w:t>
            </w:r>
          </w:p>
          <w:p>
            <w:pPr/>
            <w:r>
              <w:rPr/>
              <w:t xml:space="preserve">2. OG
</w:t>
            </w:r>
          </w:p>
          <w:p>
            <w:pPr/>
            <w:r>
              <w:rPr/>
              <w:t xml:space="preserve">Fensterrahmen
</w:t>
            </w:r>
          </w:p>
        </w:tc>
        <w:tc>
          <w:tcPr>
            <w:shd w:val="clear" w:fill="orange"/>
            <w:noWrap/>
          </w:tcPr>
          <w:p>
            <w:pPr/>
            <w:r>
              <w:rPr/>
              <w:t xml:space="preserve">VM-1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Gesamte Wohnung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