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Halle Nr. 3 der Immark AG in Regensdorf</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1147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EP</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 ohne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Slobodan Zec</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Slobodan Zec</w:t>
            </w:r>
            <w:bookmarkEnd w:id="12"/>
            <w:r w:rsidRPr="00FF365E">
              <w:rPr>
                <w:sz w:val="24"/>
                <w:szCs w:val="24"/>
                <w:lang w:val="en-GB"/>
              </w:rPr>
              <w:t xml:space="preserve"> </w:t>
            </w:r>
            <w:bookmarkStart w:id="13" w:name="OLE_LINK13"/>
            <w:r w:rsidRPr="00FF365E">
              <w:rPr>
                <w:sz w:val="24"/>
                <w:szCs w:val="24"/>
                <w:lang w:val="en-GB"/>
              </w:rPr>
              <w:t xml:space="preserve">?</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2026-08-19</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19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14: Faserzement</w:t>
      </w:r>
      <w:r>
        <w:rPr>
          <w:sz w:val="24"/>
          <w:szCs w:val="24"/>
        </w:rPr>
        <w:t xml:space="preserve">  </w:t>
      </w:r>
      <w:br/>
      <w:r>
        <w:rPr>
          <w:sz w:val="24"/>
          <w:szCs w:val="24"/>
        </w:rPr>
        <w:t xml:space="preserve">Faserzement in Map 17 kann durch instruierte Handwerker unter Einhaltung der Richtlinien 33031 rückgebaut werden. Es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Probe-ID 48: Dispersionskleber mit Asbest</w:t>
      </w:r>
      <w:r>
        <w:rPr>
          <w:sz w:val="24"/>
          <w:szCs w:val="24"/>
        </w:rPr>
        <w:t xml:space="preserve">  </w:t>
      </w:r>
      <w:br/>
      <w:r>
        <w:rPr>
          <w:sz w:val="24"/>
          <w:szCs w:val="24"/>
        </w:rPr>
        <w:t xml:space="preserve">Dispersionskleber mit Asbest in Map 18 erfordert eine Sanierung durch Schadstoffsanierer gemäss Richtlinie 6503. Dieses Material ist als Sonderabfall mit dem LVA-Code 17 06 05 zu beseitigen.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Fassade
</w:t>
            </w:r>
          </w:p>
          <w:p>
            <w:pPr/>
            <w:r>
              <w:rPr/>
              <w:t xml:space="preserve">DG
</w:t>
            </w:r>
          </w:p>
          <w:p>
            <w:pPr/>
            <w:r>
              <w:rPr/>
              <w:t xml:space="preserve">Wand
</w:t>
            </w:r>
          </w:p>
        </w:tc>
        <w:tc>
          <w:tcPr>
            <w:shd w:val="clear" w:fill="green"/>
            <w:noWrap/>
          </w:tcPr>
          <w:p>
            <w:pPr/>
            <w:r>
              <w:rPr/>
              <w:t xml:space="preserve">VM-1
</w:t>
            </w:r>
          </w:p>
          <w:p>
            <w:pPr/>
            <w:r>
              <w:rPr/>
              <w:t xml:space="preserve">Fugenmörtel
</w:t>
            </w:r>
          </w:p>
          <w:p>
            <w:pPr/>
            <w:r>
              <w:rPr/>
              <w:t xml:space="preserve">Glasbausteine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 o:title=""/>
                </v:shape>
              </w:pict>
              <w:t xml:space="preserve"/>
            </w:r>
          </w:p>
        </w:tc>
        <w:tc>
          <w:tcPr>
            <w:shd w:val="clear" w:fill="green"/>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