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Lumneins 14, 7166 Trun,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177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1084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Maya Karpf</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Maya Karpf  Lerchenberg 16  8046 Zürich </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Maya Karpf</w:t>
            </w:r>
            <w:bookmarkEnd w:id="12"/>
            <w:r w:rsidRPr="00FF365E">
              <w:rPr>
                <w:sz w:val="24"/>
                <w:szCs w:val="24"/>
                <w:lang w:val="en-GB"/>
              </w:rPr>
              <w:t xml:space="preserve"> </w:t>
            </w:r>
            <w:bookmarkStart w:id="13" w:name="OLE_LINK13"/>
            <w:r w:rsidRPr="00FF365E">
              <w:rPr>
                <w:sz w:val="24"/>
                <w:szCs w:val="24"/>
                <w:lang w:val="en-GB"/>
              </w:rPr>
              <w:t xml:space="preserve">Maya Karpf  Lerchenberg 16  8046 Zürich </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w:t>
            </w:r>
          </w:p>
        </w:tc>
        <w:tc>
          <w:tcPr>
            <w:noWrap/>
          </w:tcPr>
          <w:p>
            <w:pPr/>
            <w:r>
              <w:rPr/>
              <w:t xml:space="preserve">Schlafzimmer
</w:t>
            </w:r>
          </w:p>
          <w:p>
            <w:pPr/>
            <w:r>
              <w:rPr/>
              <w:t xml:space="preserve">1.OG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VB-6</w:t>
            </w:r>
          </w:p>
        </w:tc>
        <w:tc>
          <w:tcPr>
            <w:noWrap/>
          </w:tcPr>
          <w:p>
            <w:pPr/>
            <w:r>
              <w:rPr/>
              <w:t xml:space="preserve">Estrich
</w:t>
            </w:r>
          </w:p>
          <w:p>
            <w:pPr/>
            <w:r>
              <w:rPr/>
              <w:t xml:space="preserve">1.OG
</w:t>
            </w:r>
          </w:p>
        </w:tc>
        <w:tc>
          <w:tcPr>
            <w:noWrap/>
          </w:tcPr>
          <w:p>
            <w:pPr/>
            <w:r>
              <w:rPr/>
              <w:t xml:space="preserve">Elektrokasten</w:t>
            </w:r>
          </w:p>
        </w:tc>
        <w:tc>
          <w:tcPr>
            <w:noWrap/>
          </w:tcPr>
          <w:p>
            <w:pPr/>
            <w:r>
              <w:rPr/>
              <w:t xml:space="preserve">LAP/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ganzes Haus oft verdeckt
</w:t>
            </w:r>
          </w:p>
          <w:p>
            <w:pPr/>
            <w:r>
              <w:rPr/>
              <w:t xml:space="preserve">UG
</w:t>
            </w:r>
          </w:p>
        </w:tc>
        <w:tc>
          <w:tcPr>
            <w:noWrap/>
          </w:tcPr>
          <w:p>
            <w:pPr/>
            <w:r>
              <w:rPr/>
              <w:t xml:space="preserve">Fallrohre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VB-6</w:t>
            </w:r>
          </w:p>
        </w:tc>
        <w:tc>
          <w:tcPr>
            <w:noWrap/>
          </w:tcPr>
          <w:p>
            <w:pPr/>
            <w:r>
              <w:rPr/>
              <w:t xml:space="preserve">-</w:t>
            </w:r>
          </w:p>
        </w:tc>
        <w:tc>
          <w:tcPr>
            <w:noWrap/>
          </w:tcPr>
          <w:p>
            <w:pPr/>
            <w:r>
              <w:rPr/>
              <w:t xml:space="preserve">-</w:t>
            </w:r>
          </w:p>
        </w:tc>
        <w:tc>
          <w:tcPr>
            <w:noWrap/>
          </w:tcPr>
          <w:p>
            <w:pPr/>
            <w:r>
              <w:rPr/>
              <w:t xml:space="preserv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 Material: Fensterkitt</w:t>
      </w:r>
      <w:r>
        <w:rPr>
          <w:sz w:val="24"/>
          <w:szCs w:val="24"/>
        </w:rPr>
        <w:t xml:space="preserve"/>
      </w:r>
      <w:br/>
      <w:r>
        <w:rPr>
          <w:sz w:val="24"/>
          <w:szCs w:val="24"/>
        </w:rPr>
        <w:t xml:space="preserve"/>
      </w:r>
      <w:br/>
      <w:r>
        <w:rPr>
          <w:sz w:val="24"/>
          <w:szCs w:val="24"/>
        </w:rPr>
        <w:t xml:space="preserve">Der Fensterkitt im Schlafzimmer im 1. Obergeschoss enthält Asbest und muss unter Beachtung der Richtlinien 33039 bis 33044 entsorgt werden. Instruierte Handwerker können die Sanierung durchführen, und die Entsorgung erfolgt mit dem LVA-Code 17 06 98.</w:t>
      </w:r>
      <w:br/>
      <w:r>
        <w:rPr>
          <w:sz w:val="24"/>
          <w:szCs w:val="24"/>
        </w:rPr>
        <w:t xml:space="preserve"/>
      </w:r>
      <w:br/>
      <w:r>
        <w:rPr>
          <w:sz w:val="24"/>
          <w:szCs w:val="24"/>
          <w:b w:val="1"/>
          <w:bCs w:val="1"/>
        </w:rPr>
        <w:t xml:space="preserve"/>
      </w:r>
      <w:r>
        <w:rPr>
          <w:sz w:val="24"/>
          <w:szCs w:val="24"/>
          <w:b w:val="1"/>
          <w:bCs w:val="1"/>
        </w:rPr>
        <w:t xml:space="preserve">VB-7, Material: Faserzement</w:t>
      </w:r>
      <w:r>
        <w:rPr>
          <w:sz w:val="24"/>
          <w:szCs w:val="24"/>
        </w:rPr>
        <w:t xml:space="preserve"/>
      </w:r>
      <w:br/>
      <w:r>
        <w:rPr>
          <w:sz w:val="24"/>
          <w:szCs w:val="24"/>
        </w:rPr>
        <w:t xml:space="preserve"/>
      </w:r>
      <w:br/>
      <w:r>
        <w:rPr>
          <w:sz w:val="24"/>
          <w:szCs w:val="24"/>
        </w:rPr>
        <w:t xml:space="preserve">Die Faserzement-Fallrohre im Untergeschoss enthalten Asbest und dürfen von unterwiesenen Handwerkern nach den Richtlinien 33031 rückgebaut werden. Die Entsorgung erfolgt auf einer Deponie Typ B mit dem LVA-Code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1.OG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Schlafzimmer
</w:t>
            </w:r>
          </w:p>
          <w:p>
            <w:pPr/>
            <w:r>
              <w:rPr/>
              <w:t xml:space="preserve">1.OG
</w:t>
            </w:r>
          </w:p>
        </w:tc>
        <w:tc>
          <w:tcPr>
            <w:shd w:val="clear" w:fill="orange"/>
            <w:noWrap/>
          </w:tcPr>
          <w:p>
            <w:pPr/>
            <w:r>
              <w:rPr/>
              <w:t xml:space="preserve">VM-13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MaP-3</w:t>
            </w:r>
          </w:p>
        </w:tc>
        <w:tc>
          <w:tcPr>
            <w:shd w:val="clear" w:fill="green"/>
            <w:noWrap/>
          </w:tcPr>
          <w:p>
            <w:pPr/>
            <w:r>
              <w:rPr/>
              <w:t xml:space="preserve">Estrich
</w:t>
            </w:r>
          </w:p>
          <w:p>
            <w:pPr/>
            <w:r>
              <w:rPr/>
              <w:t xml:space="preserve">1.OG
</w:t>
            </w:r>
          </w:p>
        </w:tc>
        <w:tc>
          <w:tcPr>
            <w:shd w:val="clear" w:fill="green"/>
            <w:noWrap/>
          </w:tcPr>
          <w:p>
            <w:pPr/>
            <w:r>
              <w:rPr/>
              <w:t xml:space="preserve">VM-28
</w:t>
            </w:r>
          </w:p>
          <w:p>
            <w:pPr/>
            <w:r>
              <w:rPr/>
              <w:t xml:space="preserve">Windpapier
</w:t>
            </w:r>
          </w:p>
          <w:p>
            <w:pPr/>
            <w:r>
              <w:rPr/>
              <w:t xml:space="preserve">Aussenwände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orange"/>
            <w:noWrap/>
          </w:tcPr>
          <w:p>
            <w:pPr/>
            <w:r>
              <w:rPr/>
              <w:t xml:space="preserve">MaP-7</w:t>
            </w:r>
          </w:p>
        </w:tc>
        <w:tc>
          <w:tcPr>
            <w:shd w:val="clear" w:fill="orange"/>
            <w:noWrap/>
          </w:tcPr>
          <w:p>
            <w:pPr/>
            <w:r>
              <w:rPr/>
              <w:t xml:space="preserve">Wohnzimmer
</w:t>
            </w:r>
          </w:p>
          <w:p>
            <w:pPr/>
            <w:r>
              <w:rPr/>
              <w:t xml:space="preserve">EG
</w:t>
            </w:r>
          </w:p>
        </w:tc>
        <w:tc>
          <w:tcPr>
            <w:shd w:val="clear" w:fill="orange"/>
            <w:noWrap/>
          </w:tcPr>
          <w:p>
            <w:pPr/>
            <w:r>
              <w:rPr/>
              <w:t xml:space="preserve">VM-30
</w:t>
            </w:r>
          </w:p>
          <w:p>
            <w:pPr/>
            <w:r>
              <w:rPr/>
              <w:t xml:space="preserve">(elastische) Bodenbeläge
</w:t>
            </w:r>
          </w:p>
          <w:p>
            <w:pPr/>
            <w:r>
              <w:rPr/>
              <w:t xml:space="preserve">verleimt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3" o:title=""/>
                </v:shape>
              </w:pict>
              <w:t xml:space="preserve"/>
            </w:r>
          </w:p>
        </w:tc>
        <w:tc>
          <w:tcPr>
            <w:shd w:val="clear" w:fill="orange"/>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alte Küche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alte Küche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MaP-10</w:t>
            </w:r>
          </w:p>
        </w:tc>
        <w:tc>
          <w:tcPr>
            <w:shd w:val="clear" w:fill="orange"/>
            <w:noWrap/>
          </w:tcPr>
          <w:p>
            <w:pPr/>
            <w:r>
              <w:rPr/>
              <w:t xml:space="preserve">Bad
</w:t>
            </w:r>
          </w:p>
          <w:p>
            <w:pPr/>
            <w:r>
              <w:rPr/>
              <w:t xml:space="preserve">EG
</w:t>
            </w:r>
          </w:p>
        </w:tc>
        <w:tc>
          <w:tcPr>
            <w:shd w:val="clear" w:fill="orange"/>
            <w:noWrap/>
          </w:tcPr>
          <w:p>
            <w:pPr/>
            <w:r>
              <w:rPr/>
              <w:t xml:space="preserve">VM-30
</w:t>
            </w:r>
          </w:p>
          <w:p>
            <w:pPr/>
            <w:r>
              <w:rPr/>
              <w:t xml:space="preserve">(elastische) Bodenbeläge
</w:t>
            </w:r>
          </w:p>
          <w:p>
            <w:pPr/>
            <w:r>
              <w:rPr/>
              <w:t xml:space="preserve">verleimt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r>
        <w:trPr/>
        <w:tc>
          <w:tcPr>
            <w:shd w:val="clear" w:fill="orange"/>
            <w:noWrap/>
          </w:tcPr>
          <w:p>
            <w:pPr/>
            <w:r>
              <w:rPr/>
              <w:t xml:space="preserve">MaP-11</w:t>
            </w:r>
          </w:p>
        </w:tc>
        <w:tc>
          <w:tcPr>
            <w:shd w:val="clear" w:fill="orange"/>
            <w:noWrap/>
          </w:tcPr>
          <w:p>
            <w:pPr/>
            <w:r>
              <w:rPr/>
              <w:t xml:space="preserve">Wohnzimmer
</w:t>
            </w:r>
          </w:p>
          <w:p>
            <w:pPr/>
            <w:r>
              <w:rPr/>
              <w:t xml:space="preserve">EG
</w:t>
            </w:r>
          </w:p>
        </w:tc>
        <w:tc>
          <w:tcPr>
            <w:shd w:val="clear" w:fill="orange"/>
            <w:noWrap/>
          </w:tcPr>
          <w:p>
            <w:pPr/>
            <w:r>
              <w:rPr/>
              <w:t xml:space="preserve">VM-30
</w:t>
            </w:r>
          </w:p>
          <w:p>
            <w:pPr/>
            <w:r>
              <w:rPr/>
              <w:t xml:space="preserve">(elastische) Bodenbeläge
</w:t>
            </w:r>
          </w:p>
          <w:p>
            <w:pPr/>
            <w:r>
              <w:rPr/>
              <w:t xml:space="preserve">verleimt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 o:title=""/>
                </v:shape>
              </w:pict>
              <w:t xml:space="preserve"/>
            </w:r>
          </w:p>
        </w:tc>
        <w:tc>
          <w:tcPr>
            <w:shd w:val="clear" w:fill="orange"/>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MaP-12</w:t>
            </w:r>
          </w:p>
        </w:tc>
        <w:tc>
          <w:tcPr>
            <w:shd w:val="clear" w:fill="orange"/>
            <w:noWrap/>
          </w:tcPr>
          <w:p>
            <w:pPr/>
            <w:r>
              <w:rPr/>
              <w:t xml:space="preserve">Schlafzimmer
</w:t>
            </w:r>
          </w:p>
          <w:p>
            <w:pPr/>
            <w:r>
              <w:rPr/>
              <w:t xml:space="preserve">EG
</w:t>
            </w:r>
          </w:p>
        </w:tc>
        <w:tc>
          <w:tcPr>
            <w:shd w:val="clear" w:fill="orange"/>
            <w:noWrap/>
          </w:tcPr>
          <w:p>
            <w:pPr/>
            <w:r>
              <w:rPr/>
              <w:t xml:space="preserve">VM-30
</w:t>
            </w:r>
          </w:p>
          <w:p>
            <w:pPr/>
            <w:r>
              <w:rPr/>
              <w:t xml:space="preserve">(elastische) Bodenbeläge
</w:t>
            </w:r>
          </w:p>
          <w:p>
            <w:pPr/>
            <w:r>
              <w:rPr/>
              <w:t xml:space="preserve">verleimt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MaP-13</w:t>
            </w:r>
          </w:p>
        </w:tc>
        <w:tc>
          <w:tcPr>
            <w:shd w:val="clear" w:fill="orange"/>
            <w:noWrap/>
          </w:tcPr>
          <w:p>
            <w:pPr/>
            <w:r>
              <w:rPr/>
              <w:t xml:space="preserve">WC
</w:t>
            </w:r>
          </w:p>
          <w:p>
            <w:pPr/>
            <w:r>
              <w:rPr/>
              <w:t xml:space="preserve">1.OG
</w:t>
            </w:r>
          </w:p>
        </w:tc>
        <w:tc>
          <w:tcPr>
            <w:shd w:val="clear" w:fill="orange"/>
            <w:noWrap/>
          </w:tcPr>
          <w:p>
            <w:pPr/>
            <w:r>
              <w:rPr/>
              <w:t xml:space="preserve">VM-30
</w:t>
            </w:r>
          </w:p>
          <w:p>
            <w:pPr/>
            <w:r>
              <w:rPr/>
              <w:t xml:space="preserve">(elastische) Bodenbeläge
</w:t>
            </w:r>
          </w:p>
          <w:p>
            <w:pPr/>
            <w:r>
              <w:rPr/>
              <w:t xml:space="preserve">verleimt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VB-2</w:t>
            </w:r>
          </w:p>
        </w:tc>
        <w:tc>
          <w:tcPr>
            <w:shd w:val="clear" w:fill="orange"/>
            <w:noWrap/>
          </w:tcPr>
          <w:p>
            <w:pPr/>
            <w:r>
              <w:rPr/>
              <w:t xml:space="preserve">Küche/ Gang
</w:t>
            </w:r>
          </w:p>
          <w:p>
            <w:pPr/>
            <w:r>
              <w:rPr/>
              <w:t xml:space="preserve">1.OG
</w:t>
            </w:r>
          </w:p>
        </w:tc>
        <w:tc>
          <w:tcPr>
            <w:shd w:val="clear" w:fill="orange"/>
            <w:noWrap/>
          </w:tcPr>
          <w:p>
            <w:pPr/>
            <w:r>
              <w:rPr/>
              <w:t xml:space="preserve">VM-29
</w:t>
            </w:r>
          </w:p>
          <w:p>
            <w:pPr/>
            <w:r>
              <w:rPr/>
              <w:t xml:space="preserve">(elastische) Bodenbeläge
</w:t>
            </w:r>
          </w:p>
          <w:p>
            <w:pPr/>
            <w:r>
              <w:rPr/>
              <w:t xml:space="preserve">lose verlegt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VB-2</w:t>
            </w:r>
          </w:p>
        </w:tc>
        <w:tc>
          <w:tcPr>
            <w:shd w:val="clear" w:fill="orange"/>
            <w:noWrap/>
          </w:tcPr>
          <w:p>
            <w:pPr/>
            <w:r>
              <w:rPr/>
              <w:t xml:space="preserve">Generell
</w:t>
            </w:r>
          </w:p>
          <w:p>
            <w:pPr/>
            <w:r>
              <w:rPr/>
              <w:t xml:space="preserve">Diverse
</w:t>
            </w:r>
          </w:p>
          <w:p>
            <w:pPr/>
            <w:r>
              <w:rPr/>
              <w:t xml:space="preserve">Decke
</w:t>
            </w:r>
          </w:p>
        </w:tc>
        <w:tc>
          <w:tcPr>
            <w:shd w:val="clear" w:fill="orange"/>
            <w:noWrap/>
          </w:tcPr>
          <w:p>
            <w:pPr/>
            <w:r>
              <w:rPr/>
              <w:t xml:space="preserve">VM-23
</w:t>
            </w:r>
          </w:p>
          <w:p>
            <w:pPr/>
            <w:r>
              <w:rPr/>
              <w:t xml:space="preserve">Holzschutzmittel
</w:t>
            </w:r>
          </w:p>
          <w:p>
            <w:pPr/>
            <w:r>
              <w:rPr/>
              <w:t xml:space="preserve">Dachstock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yellow"/>
            <w:noWrap/>
          </w:tcPr>
          <w:p>
            <w:pPr/>
            <w:r>
              <w:rPr/>
              <w:t xml:space="preserve">VB-6</w:t>
            </w:r>
          </w:p>
        </w:tc>
        <w:tc>
          <w:tcPr>
            <w:shd w:val="clear" w:fill="yellow"/>
            <w:noWrap/>
          </w:tcPr>
          <w:p>
            <w:pPr/>
            <w:r>
              <w:rPr/>
              <w:t xml:space="preserve">Estrich
</w:t>
            </w:r>
          </w:p>
          <w:p>
            <w:pPr/>
            <w:r>
              <w:rPr/>
              <w:t xml:space="preserve">1.OG
</w:t>
            </w:r>
          </w:p>
        </w:tc>
        <w:tc>
          <w:tcPr>
            <w:shd w:val="clear" w:fill="yellow"/>
            <w:noWrap/>
          </w:tcPr>
          <w:p>
            <w:pPr/>
            <w:r>
              <w:rPr/>
              <w:t xml:space="preserve">VM-27
</w:t>
            </w:r>
          </w:p>
          <w:p>
            <w:pPr/>
            <w:r>
              <w:rPr/>
              <w:t xml:space="preserve">LAP/ Faserzement
</w:t>
            </w:r>
          </w:p>
          <w:p>
            <w:pPr/>
            <w:r>
              <w:rPr/>
              <w:t xml:space="preserve">Elektrokasten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3" o:title=""/>
                </v:shape>
              </w:pict>
              <w:t xml:space="preserve"/>
            </w:r>
          </w:p>
        </w:tc>
        <w:tc>
          <w:tcPr>
            <w:shd w:val="clear" w:fill="yellow"/>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VB-7</w:t>
            </w:r>
          </w:p>
        </w:tc>
        <w:tc>
          <w:tcPr>
            <w:shd w:val="clear" w:fill="orange"/>
            <w:noWrap/>
          </w:tcPr>
          <w:p>
            <w:pPr/>
            <w:r>
              <w:rPr/>
              <w:t xml:space="preserve">ganzes Haus oft verdeckt
</w:t>
            </w:r>
          </w:p>
          <w:p>
            <w:pPr/>
            <w:r>
              <w:rPr/>
              <w:t xml:space="preserve">UG
</w:t>
            </w:r>
          </w:p>
        </w:tc>
        <w:tc>
          <w:tcPr>
            <w:shd w:val="clear" w:fill="orange"/>
            <w:noWrap/>
          </w:tcPr>
          <w:p>
            <w:pPr/>
            <w:r>
              <w:rPr/>
              <w:t xml:space="preserve">VM-31
</w:t>
            </w:r>
          </w:p>
          <w:p>
            <w:pPr/>
            <w:r>
              <w:rPr/>
              <w:t xml:space="preserve">Faserzement
</w:t>
            </w:r>
          </w:p>
          <w:p>
            <w:pPr/>
            <w:r>
              <w:rPr/>
              <w:t xml:space="preserve">Fallrohre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