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Austrasse 4, 8134 Adliswil,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6438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1078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provilaktisch ohne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Corina Keller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Austrasse 4, 8134 Adliswil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Corina Keller</w:t>
            </w:r>
            <w:bookmarkEnd w:id="12"/>
            <w:r w:rsidRPr="00FF365E">
              <w:rPr>
                <w:sz w:val="24"/>
                <w:szCs w:val="24"/>
                <w:lang w:val="en-GB"/>
              </w:rPr>
              <w:t xml:space="preserve"> </w:t>
            </w:r>
            <w:bookmarkStart w:id="13" w:name="OLE_LINK13"/>
            <w:r w:rsidRPr="00FF365E">
              <w:rPr>
                <w:sz w:val="24"/>
                <w:szCs w:val="24"/>
                <w:lang w:val="en-GB"/>
              </w:rPr>
              <w:t xml:space="preserve">Austrasse 4, 8134 Adliswil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2026-07-15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16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w:t>
      </w:r>
      <w:r>
        <w:rPr>
          <w:sz w:val="24"/>
          <w:szCs w:val="24"/>
        </w:rPr>
        <w:t xml:space="preserve"/>
      </w:r>
      <w:br/>
      <w:r>
        <w:rPr>
          <w:sz w:val="24"/>
          <w:szCs w:val="24"/>
        </w:rPr>
        <w:t xml:space="preserve"/>
      </w:r>
      <w:br/>
      <w:r>
        <w:rPr>
          <w:sz w:val="24"/>
          <w:szCs w:val="24"/>
        </w:rPr>
        <w:t xml:space="preserve">Faserzement kann durch instruierte Handwerker unter Einhaltung der Richtlinien 33031 rückgebaut werden und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 3</w:t>
      </w:r>
      <w:r>
        <w:rPr>
          <w:sz w:val="24"/>
          <w:szCs w:val="24"/>
        </w:rPr>
        <w:t xml:space="preserve"/>
      </w:r>
      <w:br/>
      <w:r>
        <w:rPr>
          <w:sz w:val="24"/>
          <w:szCs w:val="24"/>
        </w:rPr>
        <w:t xml:space="preserve"/>
      </w:r>
      <w:br/>
      <w:r>
        <w:rPr>
          <w:sz w:val="24"/>
          <w:szCs w:val="24"/>
        </w:rPr>
        <w:t xml:space="preserve">Isolation aus dem Gebäude kann durch instruierte Handwerker entsprechend den Richtlinien 33032 rückgebaut werden und sollte mit dem LVA Code 17 06 04 in einer geeigneten Deponie Typ B entsorgt werden.</w:t>
      </w:r>
      <w:br/>
      <w:r>
        <w:rPr>
          <w:sz w:val="24"/>
          <w:szCs w:val="24"/>
        </w:rPr>
        <w:t xml:space="preserve"/>
      </w:r>
      <w:br/>
      <w:r>
        <w:rPr>
          <w:sz w:val="24"/>
          <w:szCs w:val="24"/>
          <w:b w:val="1"/>
          <w:bCs w:val="1"/>
        </w:rPr>
        <w:t xml:space="preserve"/>
      </w:r>
      <w:r>
        <w:rPr>
          <w:sz w:val="24"/>
          <w:szCs w:val="24"/>
          <w:b w:val="1"/>
          <w:bCs w:val="1"/>
        </w:rPr>
        <w:t xml:space="preserve">Map 11</w:t>
      </w:r>
      <w:r>
        <w:rPr>
          <w:sz w:val="24"/>
          <w:szCs w:val="24"/>
        </w:rPr>
        <w:t xml:space="preserve"/>
      </w:r>
      <w:br/>
      <w:r>
        <w:rPr>
          <w:sz w:val="24"/>
          <w:szCs w:val="24"/>
        </w:rPr>
        <w:t xml:space="preserve"/>
      </w:r>
      <w:br/>
      <w:r>
        <w:rPr>
          <w:sz w:val="24"/>
          <w:szCs w:val="24"/>
        </w:rPr>
        <w:t xml:space="preserve">Bitumenvoranstrich am Einbauort benötigt Sanierung durch Schadstoffsanierer gemäss Richtlinien 33040 und ist unter dem LVA Code 17 03 02 als Sonderabfall in einer Deponie Typ D zu beseitigen.</w:t>
      </w:r>
      <w:br/>
      <w:r>
        <w:rPr>
          <w:sz w:val="24"/>
          <w:szCs w:val="24"/>
        </w:rPr>
        <w:t xml:space="preserve"/>
      </w:r>
      <w:br/>
      <w:r>
        <w:rPr>
          <w:sz w:val="24"/>
          <w:szCs w:val="24"/>
          <w:b w:val="1"/>
          <w:bCs w:val="1"/>
        </w:rPr>
        <w:t xml:space="preserve"/>
      </w:r>
      <w:r>
        <w:rPr>
          <w:sz w:val="24"/>
          <w:szCs w:val="24"/>
          <w:b w:val="1"/>
          <w:bCs w:val="1"/>
        </w:rPr>
        <w:t xml:space="preserve">Map 12</w:t>
      </w:r>
      <w:r>
        <w:rPr>
          <w:sz w:val="24"/>
          <w:szCs w:val="24"/>
        </w:rPr>
        <w:t xml:space="preserve"/>
      </w:r>
      <w:br/>
      <w:r>
        <w:rPr>
          <w:sz w:val="24"/>
          <w:szCs w:val="24"/>
        </w:rPr>
        <w:t xml:space="preserve"/>
      </w:r>
      <w:br/>
      <w:r>
        <w:rPr>
          <w:sz w:val="24"/>
          <w:szCs w:val="24"/>
        </w:rPr>
        <w:t xml:space="preserve">Dichtungsband sollte nur von professionellen Schadstoffsanierern entfernt werden, wobei dabei die Richtlinien 33041 zu beachten sind und der Abfall mit dem LVA Code 17 02 04 korrekt in einer Deponie Typ D entsorgt wird.</w:t>
      </w:r>
      <w:br/>
      <w:r>
        <w:rPr>
          <w:sz w:val="24"/>
          <w:szCs w:val="24"/>
        </w:rPr>
        <w:t xml:space="preserve"/>
      </w:r>
      <w:br/>
      <w:r>
        <w:rPr>
          <w:sz w:val="24"/>
          <w:szCs w:val="24"/>
          <w:b w:val="1"/>
          <w:bCs w:val="1"/>
        </w:rPr>
        <w:t xml:space="preserve"/>
      </w:r>
      <w:r>
        <w:rPr>
          <w:sz w:val="24"/>
          <w:szCs w:val="24"/>
          <w:b w:val="1"/>
          <w:bCs w:val="1"/>
        </w:rPr>
        <w:t xml:space="preserve">Map 14</w:t>
      </w:r>
      <w:r>
        <w:rPr>
          <w:sz w:val="24"/>
          <w:szCs w:val="24"/>
        </w:rPr>
        <w:t xml:space="preserve"/>
      </w:r>
      <w:br/>
      <w:r>
        <w:rPr>
          <w:sz w:val="24"/>
          <w:szCs w:val="24"/>
        </w:rPr>
        <w:t xml:space="preserve"/>
      </w:r>
      <w:br/>
      <w:r>
        <w:rPr>
          <w:sz w:val="24"/>
          <w:szCs w:val="24"/>
        </w:rPr>
        <w:t xml:space="preserve">Unterlagsboden kann nach den Richtlinien 33032 durch instruierte Handwerker abgebaut werden und ist unter LVA Code 17 01 01 als Bauabfall in einer Deponie Typ B zu entsorgen.</w:t>
      </w:r>
      <w:br/>
      <w:r>
        <w:rPr>
          <w:sz w:val="24"/>
          <w:szCs w:val="24"/>
        </w:rPr>
        <w:t xml:space="preserve"/>
      </w:r>
      <w:br/>
      <w:r>
        <w:rPr>
          <w:sz w:val="24"/>
          <w:szCs w:val="24"/>
          <w:b w:val="1"/>
          <w:bCs w:val="1"/>
        </w:rPr>
        <w:t xml:space="preserve"/>
      </w:r>
      <w:r>
        <w:rPr>
          <w:sz w:val="24"/>
          <w:szCs w:val="24"/>
          <w:b w:val="1"/>
          <w:bCs w:val="1"/>
        </w:rPr>
        <w:t xml:space="preserve">Map 17</w:t>
      </w:r>
      <w:r>
        <w:rPr>
          <w:sz w:val="24"/>
          <w:szCs w:val="24"/>
        </w:rPr>
        <w:t xml:space="preserve"/>
      </w:r>
      <w:br/>
      <w:r>
        <w:rPr>
          <w:sz w:val="24"/>
          <w:szCs w:val="24"/>
        </w:rPr>
        <w:t xml:space="preserve"/>
      </w:r>
      <w:br/>
      <w:r>
        <w:rPr>
          <w:sz w:val="24"/>
          <w:szCs w:val="24"/>
        </w:rPr>
        <w:t xml:space="preserve">Dämmplatten sollten durch unterwiesene Handwerker entfernt werden, gemäss den Richtlinien 33031, und sollten mit dem LVA Code 17 06 98 nk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Treppenhaus
</w:t>
            </w:r>
          </w:p>
          <w:p>
            <w:pPr/>
            <w:r>
              <w:rPr/>
              <w:t xml:space="preserve">3. OG links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Wohnzimmer
</w:t>
            </w:r>
          </w:p>
          <w:p>
            <w:pPr/>
            <w:r>
              <w:rPr/>
              <w:t xml:space="preserve">3.  OG links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 Reduit
</w:t>
            </w:r>
          </w:p>
          <w:p>
            <w:pPr/>
            <w:r>
              <w:rPr/>
              <w:t xml:space="preserve">3. OG links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Büro
</w:t>
            </w:r>
          </w:p>
          <w:p>
            <w:pPr/>
            <w:r>
              <w:rPr/>
              <w:t xml:space="preserve">3.OG links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Wohnzimmer im OG
</w:t>
            </w:r>
          </w:p>
          <w:p>
            <w:pPr/>
            <w:r>
              <w:rPr/>
              <w:t xml:space="preserve">3.  OG links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MaP-6</w:t>
            </w:r>
          </w:p>
        </w:tc>
        <w:tc>
          <w:tcPr>
            <w:shd w:val="clear" w:fill="orange"/>
            <w:noWrap/>
          </w:tcPr>
          <w:p>
            <w:pPr/>
            <w:r>
              <w:rPr/>
              <w:t xml:space="preserve">Gesamtes Haus
</w:t>
            </w:r>
          </w:p>
          <w:p>
            <w:pPr/>
            <w:r>
              <w:rPr/>
              <w:t xml:space="preserve">3.OG links
</w:t>
            </w:r>
          </w:p>
          <w:p>
            <w:pPr/>
            <w:r>
              <w:rPr/>
              <w:t xml:space="preserve">Fensterbank
</w:t>
            </w:r>
          </w:p>
        </w:tc>
        <w:tc>
          <w:tcPr>
            <w:shd w:val="clear" w:fill="orange"/>
            <w:noWrap/>
          </w:tcPr>
          <w:p>
            <w:pPr/>
            <w:r>
              <w:rPr/>
              <w:t xml:space="preserve">VM-2
</w:t>
            </w:r>
          </w:p>
          <w:p>
            <w:pPr/>
            <w:r>
              <w:rPr/>
              <w:t xml:space="preserve">Faserzement
</w:t>
            </w:r>
          </w:p>
          <w:p>
            <w:pPr/>
            <w:r>
              <w:rPr/>
              <w:t xml:space="preserve">Fensterbank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