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Grüningerstrasse 41, Grüt, ZH,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4825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1050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Rückbau mit PK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 Fehr + Partner GmbH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Plansa GmbH, Wändhüslenstrasse 8, 8608 Bubikon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 Fehr + Partner GmbH</w:t>
            </w:r>
            <w:bookmarkEnd w:id="12"/>
            <w:r w:rsidRPr="00FF365E">
              <w:rPr>
                <w:sz w:val="24"/>
                <w:szCs w:val="24"/>
                <w:lang w:val="en-GB"/>
              </w:rPr>
              <w:t xml:space="preserve"> </w:t>
            </w:r>
            <w:bookmarkStart w:id="13" w:name="OLE_LINK13"/>
            <w:r w:rsidRPr="00FF365E">
              <w:rPr>
                <w:sz w:val="24"/>
                <w:szCs w:val="24"/>
                <w:lang w:val="en-GB"/>
              </w:rPr>
              <w:t xml:space="preserve">Plansa GmbH, Wändhüslenstrasse 8, 8608 Bubikon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Bei diesem Material besteht kein direkter Schadstoffverdacht, und es wurden keine Experimente oder Laboranalysen durchgeführt.  </w:t>
      </w:r>
      <w:br/>
      <w:r>
        <w:rPr>
          <w:sz w:val="24"/>
          <w:szCs w:val="24"/>
        </w:rPr>
        <w:t xml:space="preserve"/>
      </w:r>
      <w:br/>
      <w:r>
        <w:rPr>
          <w:sz w:val="24"/>
          <w:szCs w:val="24"/>
          <w:b w:val="1"/>
          <w:bCs w:val="1"/>
        </w:rPr>
        <w:t xml:space="preserve"/>
      </w:r>
      <w:r>
        <w:rPr>
          <w:sz w:val="24"/>
          <w:szCs w:val="24"/>
          <w:b w:val="1"/>
          <w:bCs w:val="1"/>
        </w:rPr>
        <w:t xml:space="preserve">Probe-ID 21</w:t>
      </w:r>
      <w:r>
        <w:rPr>
          <w:sz w:val="24"/>
          <w:szCs w:val="24"/>
        </w:rPr>
        <w:t xml:space="preserve">  </w:t>
      </w:r>
      <w:br/>
      <w:r>
        <w:rPr>
          <w:sz w:val="24"/>
          <w:szCs w:val="24"/>
        </w:rPr>
        <w:t xml:space="preserve">Das Material Eternitwelle aus Map 21 muss durch instruierte Handwerker gemäss den Vorgaben der Richtlinien 33031 rückgebaut werden und unter dem LVA Code 17 06 05ky entsorgt werden. Es basiert auf dem Schadstoffverdacht von Asbest und erfordert keine zusätzlichen Laboruntersuchungen.  </w:t>
      </w:r>
      <w:br/>
      <w:r>
        <w:rPr>
          <w:sz w:val="24"/>
          <w:szCs w:val="24"/>
        </w:rPr>
        <w:t xml:space="preserve"/>
      </w:r>
      <w:br/>
      <w:r>
        <w:rPr>
          <w:sz w:val="24"/>
          <w:szCs w:val="24"/>
          <w:b w:val="1"/>
          <w:bCs w:val="1"/>
        </w:rPr>
        <w:t xml:space="preserve"/>
      </w:r>
      <w:r>
        <w:rPr>
          <w:sz w:val="24"/>
          <w:szCs w:val="24"/>
          <w:b w:val="1"/>
          <w:bCs w:val="1"/>
        </w:rPr>
        <w:t xml:space="preserve">Probe-ID 23</w:t>
      </w:r>
      <w:r>
        <w:rPr>
          <w:sz w:val="24"/>
          <w:szCs w:val="24"/>
        </w:rPr>
        <w:t xml:space="preserve">  </w:t>
      </w:r>
      <w:br/>
      <w:r>
        <w:rPr>
          <w:sz w:val="24"/>
          <w:szCs w:val="24"/>
        </w:rPr>
        <w:t xml:space="preserve">Beton aus Map 23 erfordert keinen spezifischen Verdacht und daher ist keine besondere Handhabung oder Laborunterstützung erforderlich. Die Entsorgung soll durch instruierte Handwerker in Übereinstimmung mit den Richtlinien 33031 durchgeführt werden, wobei der LVA Code 17 01 07uz zugrunde gelegt wird.  </w:t>
      </w:r>
      <w:br/>
      <w:r>
        <w:rPr>
          <w:sz w:val="24"/>
          <w:szCs w:val="24"/>
        </w:rPr>
        <w:t xml:space="preserve"/>
      </w:r>
      <w:br/>
      <w:r>
        <w:rPr>
          <w:sz w:val="24"/>
          <w:szCs w:val="24"/>
          <w:b w:val="1"/>
          <w:bCs w:val="1"/>
        </w:rPr>
        <w:t xml:space="preserve"/>
      </w:r>
      <w:r>
        <w:rPr>
          <w:sz w:val="24"/>
          <w:szCs w:val="24"/>
          <w:b w:val="1"/>
          <w:bCs w:val="1"/>
        </w:rPr>
        <w:t xml:space="preserve">Probe-ID 25</w:t>
      </w:r>
      <w:r>
        <w:rPr>
          <w:sz w:val="24"/>
          <w:szCs w:val="24"/>
        </w:rPr>
        <w:t xml:space="preserve">  </w:t>
      </w:r>
      <w:br/>
      <w:r>
        <w:rPr>
          <w:sz w:val="24"/>
          <w:szCs w:val="24"/>
        </w:rPr>
        <w:t xml:space="preserve">Der Baustoff Bituminöses Material in Map 25 kann durch instruierte Handwerker rückgebaut werden, indem sie die Richtlinien 33031 sorgfältig befolgen, und wird mit dem LVA Code 17 03 02xy entsorgt. Trotz des Verdachts auf PCB wurde keine Laborexploration durchgeführt.  </w:t>
      </w:r>
      <w:br/>
      <w:r>
        <w:rPr>
          <w:sz w:val="24"/>
          <w:szCs w:val="24"/>
        </w:rPr>
        <w:t xml:space="preserve"/>
      </w:r>
      <w:br/>
      <w:r>
        <w:rPr>
          <w:sz w:val="24"/>
          <w:szCs w:val="24"/>
          <w:b w:val="1"/>
          <w:bCs w:val="1"/>
        </w:rPr>
        <w:t xml:space="preserve"/>
      </w:r>
      <w:r>
        <w:rPr>
          <w:sz w:val="24"/>
          <w:szCs w:val="24"/>
          <w:b w:val="1"/>
          <w:bCs w:val="1"/>
        </w:rPr>
        <w:t xml:space="preserve">Probe-ID 30</w:t>
      </w:r>
      <w:r>
        <w:rPr>
          <w:sz w:val="24"/>
          <w:szCs w:val="24"/>
        </w:rPr>
        <w:t xml:space="preserve">  </w:t>
      </w:r>
      <w:br/>
      <w:r>
        <w:rPr>
          <w:sz w:val="24"/>
          <w:szCs w:val="24"/>
        </w:rPr>
        <w:t xml:space="preserve">Metall aus Map 30 wird durch instruierte Handwerker, in Übereinstimmung mit den Richtlinien 33031, rückgebaut und ist mit dem LVA Code 17 04 05yz zu entsorgen. Verdachtsmomente für Blei wurden nicht weiter untersucht oder im Labor validiert.  </w:t>
      </w:r>
      <w:br/>
      <w:r>
        <w:rPr>
          <w:sz w:val="24"/>
          <w:szCs w:val="24"/>
        </w:rPr>
        <w:t xml:space="preserve"/>
      </w:r>
      <w:br/>
      <w:r>
        <w:rPr>
          <w:sz w:val="24"/>
          <w:szCs w:val="24"/>
          <w:b w:val="1"/>
          <w:bCs w:val="1"/>
        </w:rPr>
        <w:t xml:space="preserve"/>
      </w:r>
      <w:r>
        <w:rPr>
          <w:sz w:val="24"/>
          <w:szCs w:val="24"/>
          <w:b w:val="1"/>
          <w:bCs w:val="1"/>
        </w:rPr>
        <w:t xml:space="preserve">Probe-ID 42</w:t>
      </w:r>
      <w:r>
        <w:rPr>
          <w:sz w:val="24"/>
          <w:szCs w:val="24"/>
        </w:rPr>
        <w:t xml:space="preserve">  </w:t>
      </w:r>
      <w:br/>
      <w:r>
        <w:rPr>
          <w:sz w:val="24"/>
          <w:szCs w:val="24"/>
        </w:rPr>
        <w:t xml:space="preserve">Pa-Versiegelung von Map 42 muss durch schadstoffspezialisierte Sanierer entfernt werden, wobei sie die Richtlinien 43031 einhalten, und unter dem LVA Code 17 09 03ab entsorgt werden. Es wurde ein Verdacht auf polyzyklische aromatische Kohlenwasserstoffe (PAK) festgestellt, welcher keine zusätzliche Laboranalytik erforderte.</w:t>
      </w:r>
      <w:br/>
      <w:r>
        <w:rPr>
          <w:sz w:val="24"/>
          <w:szCs w:val="24"/>
        </w:rPr>
        <w:t xml:space="preserve"/>
      </w:r>
      <w:br/>
      <w:r>
        <w:rPr>
          <w:sz w:val="24"/>
          <w:szCs w:val="24"/>
          <w:b w:val="1"/>
          <w:bCs w:val="1"/>
        </w:rPr>
        <w:t xml:space="preserve"/>
      </w:r>
      <w:r>
        <w:rPr>
          <w:sz w:val="24"/>
          <w:szCs w:val="24"/>
          <w:b w:val="1"/>
          <w:bCs w:val="1"/>
        </w:rPr>
        <w:t xml:space="preserve">Probe-ID 55</w:t>
      </w:r>
      <w:r>
        <w:rPr>
          <w:sz w:val="24"/>
          <w:szCs w:val="24"/>
        </w:rPr>
        <w:t xml:space="preserve">  </w:t>
      </w:r>
      <w:br/>
      <w:r>
        <w:rPr>
          <w:sz w:val="24"/>
          <w:szCs w:val="24"/>
        </w:rPr>
        <w:t xml:space="preserve">Mineralfaser aus Map 55 ist durch speziell geschulte Sanierer unter Einsatz der Richtlinien 43031 zu sanieren und anschliessend mit dem LVA Code 17 06 04jd zu entsorgen. Verdacht auf Asbest ohne erforderliche eingreifende Laboruntersuchungen bekräftigt den massvollen Umgang mit dem Material.</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Gartenhaus
</w:t>
            </w:r>
          </w:p>
          <w:p>
            <w:pPr/>
            <w:r>
              <w:rPr/>
              <w:t xml:space="preserve">EG
</w:t>
            </w:r>
          </w:p>
          <w:p>
            <w:pPr/>
            <w:r>
              <w:rPr/>
              <w:t xml:space="preserve">Fensterflügel
</w:t>
            </w:r>
          </w:p>
        </w:tc>
        <w:tc>
          <w:tcPr>
            <w:shd w:val="clear" w:fill="green"/>
            <w:noWrap/>
          </w:tcPr>
          <w:p>
            <w:pPr/>
            <w:r>
              <w:rPr/>
              <w:t xml:space="preserve">VM-1
</w:t>
            </w:r>
          </w:p>
          <w:p>
            <w:pPr/>
            <w:r>
              <w:rPr/>
              <w:t xml:space="preserve">Fehsterkitt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Cheminée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Gartenhaus
</w:t>
            </w:r>
          </w:p>
          <w:p>
            <w:pPr/>
            <w:r>
              <w:rPr/>
              <w:t xml:space="preserve">EG
</w:t>
            </w:r>
          </w:p>
          <w:p>
            <w:pPr/>
            <w:r>
              <w:rPr/>
              <w:t xml:space="preserve">Sockel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VB-1</w:t>
            </w:r>
          </w:p>
        </w:tc>
        <w:tc>
          <w:tcPr>
            <w:shd w:val="clear" w:fill="orange"/>
            <w:noWrap/>
          </w:tcPr>
          <w:p>
            <w:pPr/>
            <w:r>
              <w:rPr/>
              <w:t xml:space="preserve">Gartenhaus
</w:t>
            </w:r>
          </w:p>
          <w:p>
            <w:pPr/>
            <w:r>
              <w:rPr/>
              <w:t xml:space="preserve">DG
</w:t>
            </w:r>
          </w:p>
          <w:p>
            <w:pPr/>
            <w:r>
              <w:rPr/>
              <w:t xml:space="preserve">Unterdach
</w:t>
            </w:r>
          </w:p>
        </w:tc>
        <w:tc>
          <w:tcPr>
            <w:shd w:val="clear" w:fill="orange"/>
            <w:noWrap/>
          </w:tcPr>
          <w:p>
            <w:pPr/>
            <w:r>
              <w:rPr/>
              <w:t xml:space="preserve">VM-3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