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7165 Breil-Brigels,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GZ2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1047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Giuseppina Cathomas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Giuseppina Cathomas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Schlafzimmer und Esszimmer
</w:t>
            </w:r>
          </w:p>
          <w:p>
            <w:pPr/>
            <w:r>
              <w:rPr/>
              <w:t xml:space="preserve">OG/ EG
</w:t>
            </w:r>
          </w:p>
        </w:tc>
        <w:tc>
          <w:tcPr>
            <w:noWrap/>
          </w:tcPr>
          <w:p>
            <w:pPr/>
            <w:r>
              <w:rPr/>
              <w:t xml:space="preserve">Deckenanschluss</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Faserzement</w:t>
      </w:r>
      <w:r>
        <w:rPr>
          <w:sz w:val="24"/>
          <w:szCs w:val="24"/>
        </w:rPr>
        <w:t xml:space="preserve"> aus dem Schlafzimmer und Esszimmer, OG/EG, am Deckenanschluss, enthält Asbest und war exp. getestet. </w:t>
      </w:r>
      <w:br/>
      <w:r>
        <w:rPr>
          <w:sz w:val="24"/>
          <w:szCs w:val="24"/>
        </w:rPr>
        <w:t xml:space="preserve"/>
      </w:r>
      <w:br/>
      <w:r>
        <w:rPr>
          <w:sz w:val="24"/>
          <w:szCs w:val="24"/>
          <w:b w:val="1"/>
          <w:bCs w:val="1"/>
        </w:rPr>
        <w:t xml:space="preserve">Faserzement aus </w:t>
      </w:r>
      <w:r>
        <w:rPr>
          <w:sz w:val="24"/>
          <w:szCs w:val="24"/>
          <w:b w:val="1"/>
          <w:bCs w:val="1"/>
        </w:rPr>
        <w:t xml:space="preserve">VB-1</w:t>
      </w:r>
      <w:r>
        <w:rPr>
          <w:sz w:val="24"/>
          <w:szCs w:val="24"/>
        </w:rPr>
        <w:t xml:space="preserve"> kann durch instruierte Handwerker unter Einhaltung der Richtlinien 33031 rückgebaut werden und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Fliesenkleber
</w:t>
            </w:r>
          </w:p>
          <w:p>
            <w:pPr/>
            <w:r>
              <w:rPr/>
              <w:t xml:space="preserve">Fensterbank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Fassade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VB-1</w:t>
            </w:r>
          </w:p>
        </w:tc>
        <w:tc>
          <w:tcPr>
            <w:shd w:val="clear" w:fill="orange"/>
            <w:noWrap/>
          </w:tcPr>
          <w:p>
            <w:pPr/>
            <w:r>
              <w:rPr/>
              <w:t xml:space="preserve">Schlafzimmer und Esszimmer
</w:t>
            </w:r>
          </w:p>
          <w:p>
            <w:pPr/>
            <w:r>
              <w:rPr/>
              <w:t xml:space="preserve">OG/ EG
</w:t>
            </w:r>
          </w:p>
        </w:tc>
        <w:tc>
          <w:tcPr>
            <w:shd w:val="clear" w:fill="orange"/>
            <w:noWrap/>
          </w:tcPr>
          <w:p>
            <w:pPr/>
            <w:r>
              <w:rPr/>
              <w:t xml:space="preserve">VM-2
</w:t>
            </w:r>
          </w:p>
          <w:p>
            <w:pPr/>
            <w:r>
              <w:rPr/>
              <w:t xml:space="preserve">Faserzement
</w:t>
            </w:r>
          </w:p>
          <w:p>
            <w:pPr/>
            <w:r>
              <w:rPr/>
              <w:t xml:space="preserve">Deckenanschluss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