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Hertistrasse 15B, Davos Platz,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574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1000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Bless René</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Hertistrasse 15B, Davos Platz,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Bless René</w:t>
            </w:r>
            <w:bookmarkEnd w:id="12"/>
            <w:r w:rsidRPr="00FF365E">
              <w:rPr>
                <w:sz w:val="24"/>
                <w:szCs w:val="24"/>
                <w:lang w:val="en-GB"/>
              </w:rPr>
              <w:t xml:space="preserve"> </w:t>
            </w:r>
            <w:bookmarkStart w:id="13" w:name="OLE_LINK13"/>
            <w:r w:rsidRPr="00FF365E">
              <w:rPr>
                <w:sz w:val="24"/>
                <w:szCs w:val="24"/>
                <w:lang w:val="en-GB"/>
              </w:rPr>
              <w:t xml:space="preserve">Hertistrasse 15B, Davos Platz,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2026-06-19</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 Nils Jucker</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23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 17</w:t>
      </w:r>
      <w:r>
        <w:rPr>
          <w:sz w:val="24"/>
          <w:szCs w:val="24"/>
        </w:rPr>
        <w:t xml:space="preserve">  </w:t>
      </w:r>
      <w:br/>
      <w:r>
        <w:rPr>
          <w:sz w:val="24"/>
          <w:szCs w:val="24"/>
        </w:rPr>
        <w:t xml:space="preserve">Faserzement aus Map 17 kann durch instruierte Handwerker unter Einhaltung der Richtlinien 33031 rückgebaut werden und ist mit dem LVA Code 17 06 98nk in einer Deponie Typ B zu entsorgen. Die Menge des Materials beträgt 15 Quadratmeter.</w:t>
      </w:r>
      <w:br/>
      <w:r>
        <w:rPr>
          <w:sz w:val="24"/>
          <w:szCs w:val="24"/>
        </w:rPr>
        <w:t xml:space="preserve"/>
      </w:r>
      <w:br/>
      <w:r>
        <w:rPr>
          <w:sz w:val="24"/>
          <w:szCs w:val="24"/>
          <w:b w:val="1"/>
          <w:bCs w:val="1"/>
        </w:rPr>
        <w:t xml:space="preserve"/>
      </w:r>
      <w:r>
        <w:rPr>
          <w:sz w:val="24"/>
          <w:szCs w:val="24"/>
          <w:b w:val="1"/>
          <w:bCs w:val="1"/>
        </w:rPr>
        <w:t xml:space="preserve">Map 21</w:t>
      </w:r>
      <w:r>
        <w:rPr>
          <w:sz w:val="24"/>
          <w:szCs w:val="24"/>
        </w:rPr>
        <w:t xml:space="preserve">  </w:t>
      </w:r>
      <w:br/>
      <w:r>
        <w:rPr>
          <w:sz w:val="24"/>
          <w:szCs w:val="24"/>
        </w:rPr>
        <w:t xml:space="preserve">Faserzement aus Map 21 muss von einem Schadstoffsanierer unter Einhaltung der Richtlinien 33038 entfernt werden und ist mit dem LVA Code 17 06 98nk in einer Deponie Typ E zu entsorgen. Die Menge des Materials beträgt 120 Quadratmeter.</w:t>
      </w:r>
      <w:br/>
      <w:r>
        <w:rPr>
          <w:sz w:val="24"/>
          <w:szCs w:val="24"/>
        </w:rPr>
        <w:t xml:space="preserve"/>
      </w:r>
      <w:br/>
      <w:r>
        <w:rPr>
          <w:sz w:val="24"/>
          <w:szCs w:val="24"/>
          <w:b w:val="1"/>
          <w:bCs w:val="1"/>
        </w:rPr>
        <w:t xml:space="preserve"/>
      </w:r>
      <w:r>
        <w:rPr>
          <w:sz w:val="24"/>
          <w:szCs w:val="24"/>
          <w:b w:val="1"/>
          <w:bCs w:val="1"/>
        </w:rPr>
        <w:t xml:space="preserve">Map 24</w:t>
      </w:r>
      <w:r>
        <w:rPr>
          <w:sz w:val="24"/>
          <w:szCs w:val="24"/>
        </w:rPr>
        <w:t xml:space="preserve">  </w:t>
      </w:r>
      <w:br/>
      <w:r>
        <w:rPr>
          <w:sz w:val="24"/>
          <w:szCs w:val="24"/>
        </w:rPr>
        <w:t xml:space="preserve">Faserzement aus Map 24 ist von einem Schadstoffsanierer zu entfernen und muss den Richtlinien 33038 folgend entsorgt werden. Die Entsorgung erfolgt durch Deponierung als Typ E mit dem LVA Code 17 06 98nk, bei einer Menge von 45 Quadratmetern.</w:t>
      </w:r>
      <w:br/>
      <w:r>
        <w:rPr>
          <w:sz w:val="24"/>
          <w:szCs w:val="24"/>
        </w:rPr>
        <w:t xml:space="preserve"/>
      </w:r>
      <w:br/>
      <w:r>
        <w:rPr>
          <w:sz w:val="24"/>
          <w:szCs w:val="24"/>
          <w:b w:val="1"/>
          <w:bCs w:val="1"/>
        </w:rPr>
        <w:t xml:space="preserve"/>
      </w:r>
      <w:r>
        <w:rPr>
          <w:sz w:val="24"/>
          <w:szCs w:val="24"/>
          <w:b w:val="1"/>
          <w:bCs w:val="1"/>
        </w:rPr>
        <w:t xml:space="preserve">Map 25</w:t>
      </w:r>
      <w:r>
        <w:rPr>
          <w:sz w:val="24"/>
          <w:szCs w:val="24"/>
        </w:rPr>
        <w:t xml:space="preserve">  </w:t>
      </w:r>
      <w:br/>
      <w:r>
        <w:rPr>
          <w:sz w:val="24"/>
          <w:szCs w:val="24"/>
        </w:rPr>
        <w:t xml:space="preserve">Bodenbelag aus Map 25 erfordert die Sanierung durch einen Schadstoffsanierer unter Beachtung der Richtlinien 33038 und die Deponierung als Typ E mit dem LVA Code 17 03 03nk. Es handelt sich um eine Menge von 65 Quadratmetern.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 Nils Jucker</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tc>
        <w:tc>
          <w:tcPr>
            <w:shd w:val="clear" w:fill="red"/>
            <w:noWrap/>
          </w:tcPr>
          <w:p>
            <w:pPr/>
            <w:r>
              <w:rPr/>
              <w:t xml:space="preserve">VM-4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Wohnbereich
</w:t>
            </w:r>
          </w:p>
          <w:p>
            <w:pPr/>
            <w:r>
              <w:rPr/>
              <w:t xml:space="preserve">EG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Wohnbereich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Wohnbereich
</w:t>
            </w:r>
          </w:p>
          <w:p>
            <w:pPr/>
            <w:r>
              <w:rPr/>
              <w:t xml:space="preserve">EG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Balkon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Bad
</w:t>
            </w:r>
          </w:p>
          <w:p>
            <w:pPr/>
            <w:r>
              <w:rPr/>
              <w:t xml:space="preserve">EG
</w:t>
            </w:r>
          </w:p>
        </w:tc>
        <w:tc>
          <w:tcPr>
            <w:shd w:val="clear" w:fill="red"/>
            <w:noWrap/>
          </w:tcPr>
          <w:p>
            <w:pPr/>
            <w:r>
              <w:rPr/>
              <w:t xml:space="preserve">VM-7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Wohnbereich
</w:t>
            </w:r>
          </w:p>
          <w:p>
            <w:pPr/>
            <w:r>
              <w:rPr/>
              <w:t xml:space="preserve">EG
</w:t>
            </w:r>
          </w:p>
        </w:tc>
        <w:tc>
          <w:tcPr>
            <w:shd w:val="clear" w:fill="red"/>
            <w:noWrap/>
          </w:tcPr>
          <w:p>
            <w:pPr/>
            <w:r>
              <w:rPr/>
              <w:t xml:space="preserve">VM-9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Wohnbereich
</w:t>
            </w:r>
          </w:p>
          <w:p>
            <w:pPr/>
            <w:r>
              <w:rPr/>
              <w:t xml:space="preserve">EG
</w:t>
            </w:r>
          </w:p>
        </w:tc>
        <w:tc>
          <w:tcPr>
            <w:shd w:val="clear" w:fill="red"/>
            <w:noWrap/>
          </w:tcPr>
          <w:p>
            <w:pPr/>
            <w:r>
              <w:rPr/>
              <w:t xml:space="preserve">VM-11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VB-1</w:t>
            </w:r>
          </w:p>
        </w:tc>
        <w:tc>
          <w:tcPr>
            <w:shd w:val="clear" w:fill="red"/>
            <w:noWrap/>
          </w:tcPr>
          <w:p>
            <w:pPr/>
            <w:r>
              <w:rPr/>
              <w:t xml:space="preserve">Küche
</w:t>
            </w:r>
          </w:p>
          <w:p>
            <w:pPr/>
            <w:r>
              <w:rPr/>
              <w:t xml:space="preserve">EG
</w:t>
            </w:r>
          </w:p>
        </w:tc>
        <w:tc>
          <w:tcPr>
            <w:shd w:val="clear" w:fill="red"/>
            <w:noWrap/>
          </w:tcPr>
          <w:p>
            <w:pPr/>
            <w:r>
              <w:rPr/>
              <w:t xml:space="preserve">VM-1
</w:t>
            </w:r>
          </w:p>
          <w:p>
            <w:pPr/>
            <w:r>
              <w:rPr/>
              <w:t xml:space="preserve">Antidröhnbeschichtung
</w:t>
            </w:r>
          </w:p>
          <w:p>
            <w:pPr/>
            <w:r>
              <w:rPr/>
              <w:t xml:space="preserve">Waschbecken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