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1" w:type="dxa"/>
        <w:tblInd w:w="-113" w:type="dxa"/>
        <w:tblLayout w:type="fixed"/>
        <w:tblLook w:val="0600" w:firstRow="0" w:lastRow="0" w:firstColumn="0" w:lastColumn="0" w:noHBand="1" w:noVBand="1"/>
      </w:tblPr>
      <w:tblGrid>
        <w:gridCol w:w="5386"/>
        <w:gridCol w:w="729"/>
        <w:gridCol w:w="3306"/>
      </w:tblGrid>
      <w:tr w:rsidR="0047123B" w:rsidTr="004A1ED8">
        <w:trPr>
          <w:trHeight w:val="3764"/>
        </w:trPr>
        <w:tc>
          <w:tcPr>
            <w:tcW w:w="5386" w:type="dxa"/>
            <w:shd w:val="clear" w:color="auto" w:fill="auto"/>
            <w:tcMar>
              <w:top w:w="100" w:type="dxa"/>
              <w:left w:w="100" w:type="dxa"/>
              <w:bottom w:w="100" w:type="dxa"/>
              <w:right w:w="100" w:type="dxa"/>
            </w:tcMar>
          </w:tcPr>
          <w:p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
              <w:pict>
                <v:shape type="#_x0000_t75" style="width:375px;height:320px" stroked="f" filled="f">
                  <v:imagedata r:id="rId12" o:title=""/>
                </v:shape>
              </w:pict>
              <w:t/>
            </w:r>
          </w:p>
        </w:tc>
        <w:tc>
          <w:tcPr>
            <w:tcW w:w="729"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1" w:name="OLE_LINK33"/>
            <w:r>
              <w:rPr>
                <w:sz w:val="24"/>
                <w:szCs w:val="24"/>
              </w:rPr>
              <w:t>Nachbeprobung Hedwigstrasse 4 Zürich</w:t>
            </w:r>
            <w:bookmarkEnd w:id="1"/>
            <w:r>
              <w:rPr>
                <w:sz w:val="24"/>
                <w:szCs w:val="24"/>
              </w:rPr>
              <w:br/>
            </w:r>
            <w:r>
              <w:rPr>
                <w:sz w:val="24"/>
                <w:szCs w:val="24"/>
              </w:rPr>
              <w:br/>
              <w:t>n.n.</w:t>
            </w:r>
          </w:p>
          <w:p w:rsidR="0047123B" w:rsidRDefault="0047123B" w:rsidP="004A1ED8">
            <w:pPr>
              <w:spacing w:line="240" w:lineRule="auto"/>
              <w:rPr>
                <w:sz w:val="24"/>
                <w:szCs w:val="24"/>
              </w:rPr>
            </w:pPr>
          </w:p>
          <w:p w:rsidR="0047123B" w:rsidRDefault="0047123B" w:rsidP="004A1ED8">
            <w:pPr>
              <w:spacing w:line="240" w:lineRule="auto"/>
              <w:rPr>
                <w:sz w:val="24"/>
                <w:szCs w:val="24"/>
              </w:rPr>
            </w:pPr>
            <w:r>
              <w:rPr>
                <w:sz w:val="24"/>
                <w:szCs w:val="24"/>
              </w:rPr>
              <w:t/>
            </w: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jc w:val="right"/>
              <w:rPr>
                <w:b/>
                <w:sz w:val="24"/>
                <w:szCs w:val="24"/>
              </w:rPr>
            </w:pPr>
            <w:r>
              <w:rPr>
                <w:b/>
                <w:sz w:val="24"/>
                <w:szCs w:val="24"/>
              </w:rPr>
              <w:t>DN: 100</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2" w:name="OLE_LINK16"/>
            <w:r>
              <w:rPr>
                <w:sz w:val="24"/>
                <w:szCs w:val="24"/>
              </w:rPr>
              <w:t xml:space="preserve"/>
            </w:r>
          </w:p>
        </w:tc>
      </w:tr>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8" w:name="OLE_LINK5"/>
            <w:r>
              <w:rPr>
                <w:sz w:val="24"/>
                <w:szCs w:val="24"/>
              </w:rPr>
              <w:t>Roosarchitekten AG</w:t>
            </w:r>
            <w:bookmarkEnd w:id="8"/>
          </w:p>
          <w:p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2" w:name="OLE_LINK7"/>
            <w:r>
              <w:rPr>
                <w:sz w:val="24"/>
                <w:szCs w:val="24"/>
              </w:rPr>
              <w:t>Thomas Schmutz</w:t>
            </w:r>
            <w:bookmarkEnd w:id="12"/>
            <w:r>
              <w:rPr>
                <w:sz w:val="24"/>
                <w:szCs w:val="24"/>
              </w:rPr>
              <w:t xml:space="preserve"> </w:t>
            </w:r>
            <w:bookmarkStart w:id="13" w:name="OLE_LINK13"/>
            <w:r>
              <w:rPr>
                <w:sz w:val="24"/>
                <w:szCs w:val="24"/>
              </w:rPr>
              <w:t>+41 77 246 04 15</w:t>
            </w:r>
            <w:bookmarkEnd w:id="13"/>
          </w:p>
          <w:p w:rsidR="0047123B" w:rsidRDefault="0047123B" w:rsidP="004A1ED8">
            <w:pPr>
              <w:widowControl w:val="0"/>
              <w:spacing w:line="240" w:lineRule="auto"/>
              <w:rPr>
                <w:sz w:val="24"/>
                <w:szCs w:val="24"/>
              </w:rPr>
            </w:pPr>
            <w:r>
              <w:rPr>
                <w:sz w:val="24"/>
                <w:szCs w:val="24"/>
              </w:rPr>
              <w:t>thomas.schmutz@roosarchitekten.ch</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c>
          <w:tcPr>
            <w:tcW w:w="2355" w:type="dxa"/>
          </w:tcPr>
          <w:p w:rsidR="0047123B" w:rsidRDefault="0047123B" w:rsidP="004A1ED8">
            <w:pPr>
              <w:spacing w:line="240" w:lineRule="auto"/>
              <w:rPr>
                <w:sz w:val="24"/>
                <w:szCs w:val="24"/>
              </w:rPr>
            </w:pPr>
            <w:r>
              <w:rPr>
                <w:sz w:val="24"/>
                <w:szCs w:val="24"/>
              </w:rPr>
              <w:t>Zeitpunkt der Untersuchung</w:t>
            </w:r>
          </w:p>
        </w:tc>
        <w:tc>
          <w:tcPr>
            <w:tcW w:w="2265" w:type="dxa"/>
          </w:tcPr>
          <w:p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rsidTr="004A1ED8">
        <w:tc>
          <w:tcPr>
            <w:tcW w:w="2355" w:type="dxa"/>
          </w:tcPr>
          <w:p w:rsidR="0047123B" w:rsidRDefault="0047123B" w:rsidP="004A1ED8">
            <w:pPr>
              <w:spacing w:line="240" w:lineRule="auto"/>
              <w:rPr>
                <w:sz w:val="24"/>
                <w:szCs w:val="24"/>
              </w:rPr>
            </w:pPr>
            <w:r>
              <w:rPr>
                <w:sz w:val="24"/>
                <w:szCs w:val="24"/>
              </w:rPr>
              <w:t>Zusätzliche Beigabe</w:t>
            </w:r>
          </w:p>
        </w:tc>
        <w:tc>
          <w:tcPr>
            <w:tcW w:w="2265" w:type="dxa"/>
          </w:tcPr>
          <w:p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465"/>
        </w:trPr>
        <w:tc>
          <w:tcPr>
            <w:tcW w:w="2355" w:type="dxa"/>
          </w:tcPr>
          <w:p w:rsidR="0047123B" w:rsidRDefault="0047123B" w:rsidP="004A1ED8">
            <w:pPr>
              <w:spacing w:line="240" w:lineRule="auto"/>
              <w:rPr>
                <w:sz w:val="24"/>
                <w:szCs w:val="24"/>
              </w:rPr>
            </w:pPr>
            <w:r>
              <w:rPr>
                <w:sz w:val="24"/>
                <w:szCs w:val="24"/>
              </w:rPr>
              <w:t>Chur, 20 January 2025</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870"/>
        </w:trPr>
        <w:tc>
          <w:tcPr>
            <w:tcW w:w="2355" w:type="dxa"/>
          </w:tcPr>
          <w:p w:rsidR="0047123B" w:rsidRDefault="0047123B" w:rsidP="004A1ED8">
            <w:pPr>
              <w:spacing w:line="240" w:lineRule="auto"/>
              <w:rPr>
                <w:sz w:val="24"/>
                <w:szCs w:val="24"/>
              </w:rPr>
            </w:pPr>
            <w:r>
              <w:rPr>
                <w:sz w:val="24"/>
                <w:szCs w:val="24"/>
              </w:rPr>
              <w:t>Unterschrift</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390"/>
        </w:trPr>
        <w:tc>
          <w:tcPr>
            <w:tcW w:w="2355" w:type="dxa"/>
          </w:tcPr>
          <w:p w:rsidR="0047123B" w:rsidRDefault="0047123B" w:rsidP="004A1ED8">
            <w:pPr>
              <w:spacing w:line="240" w:lineRule="auto"/>
              <w:rPr>
                <w:sz w:val="24"/>
                <w:szCs w:val="24"/>
              </w:rPr>
            </w:pPr>
            <w:r>
              <w:rPr>
                <w:sz w:val="24"/>
                <w:szCs w:val="24"/>
              </w:rPr>
              <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bl>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18" w:name="_gjdgxs" w:colFirst="0" w:colLast="0"/>
      <w:bookmarkEnd w:id="18"/>
      <w:r>
        <w:rPr>
          <w:rFonts w:ascii="Calibri" w:eastAsia="Calibri" w:hAnsi="Calibri" w:cs="Calibri"/>
          <w:b/>
          <w:color w:val="2F5496"/>
          <w:sz w:val="32"/>
          <w:szCs w:val="32"/>
        </w:rPr>
        <w:t>Grundlagen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Nachfolgend finden Sie eine Übersicht der wesentlichen gesetzlichen Grundlagen und Richtlinien, die für den Umgang mit umwelt- und gesundheitsgefährdenden Stoffen relevant sind: </w:t>
      </w:r>
    </w:p>
    <w:p w:rsidR="0047123B" w:rsidRDefault="0047123B" w:rsidP="0047123B">
      <w:pPr>
        <w:shd w:val="clear" w:color="auto" w:fill="FFFFFF"/>
        <w:spacing w:line="240" w:lineRule="auto"/>
        <w:rPr>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Umweltschutzgesetz (USG): Regelt den Schutz der Umwelt vor schädlichen Einwirkungen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Chemikalien-Risikoreduktions-Verordnung (ChemRRV): Vorschriften zur Reduktion von Risiken beim Umgang mit gefährlichen Stoffen</w:t>
      </w:r>
      <w:r>
        <w:rPr>
          <w:b/>
          <w:sz w:val="24"/>
          <w:szCs w:val="24"/>
        </w:rPr>
        <w:br/>
        <w:t>(Stand: 6. Oktober 2022).</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Unfallversicherungsgesetz (UVG) und Verordnung über die Unfallverhütung (VUV): Rahmenbedingungen für die Verhütung von Unfällen und Berufskrankheiten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Abfallverordnungen (VVEA, VeVA): Regelungen zur Vermeidung, Entsorgung und zum Verkehr mit Abfällen (Stand: 1. Januar 2023).</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Asbest-Richtlinien und SUVA-Factsheets: Umfassende Anweisungen zum sicheren Umgang mit Asbest in verschiedenen Anwendungen, sowie Hinweise zur Sanierung und Rückbau (verschiedene Stände).</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ILO-Übereinkommen Nr. 162: Internationale Standards zur Sicherheit bei der Verwendung von Asbest.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PCB-Richtlinien und Wegleitungen: Spezifische Vorgaben zur sachgerechten Entfernung und Entsorgung von PCB-haltigen Materialien (Stand: 2020). </w:t>
      </w:r>
    </w:p>
    <w:p w:rsidR="0047123B" w:rsidRDefault="0047123B" w:rsidP="0047123B">
      <w:pPr>
        <w:spacing w:line="240" w:lineRule="auto"/>
        <w:rPr>
          <w:sz w:val="24"/>
          <w:szCs w:val="24"/>
        </w:rPr>
      </w:pPr>
    </w:p>
    <w:p w:rsidR="0047123B" w:rsidRDefault="0047123B" w:rsidP="0047123B">
      <w:pPr>
        <w:keepNext/>
        <w:keepLines/>
        <w:spacing w:line="240" w:lineRule="auto"/>
        <w:rPr>
          <w:sz w:val="26"/>
          <w:szCs w:val="26"/>
        </w:rPr>
      </w:pPr>
      <w:bookmarkStart w:id="19" w:name="_mbcpup475s1x" w:colFirst="0" w:colLast="0"/>
      <w:bookmarkEnd w:id="19"/>
      <w:r>
        <w:rPr>
          <w:sz w:val="26"/>
          <w:szCs w:val="26"/>
        </w:rPr>
        <w:br/>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r>
        <w:br w:type="page"/>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0" w:name="_2et92p0" w:colFirst="0" w:colLast="0"/>
      <w:bookmarkStart w:id="21" w:name="OLE_LINK41"/>
      <w:bookmarkEnd w:id="20"/>
      <w:r>
        <w:rPr>
          <w:rFonts w:ascii="Calibri" w:eastAsia="Calibri" w:hAnsi="Calibri" w:cs="Calibri"/>
          <w:b/>
          <w:color w:val="2F5496"/>
          <w:sz w:val="32"/>
          <w:szCs w:val="32"/>
        </w:rPr>
        <w:lastRenderedPageBreak/>
        <w:t>Schadstoffuntersuchung</w:t>
      </w:r>
    </w:p>
    <w:bookmarkEnd w:id="21"/>
    <w:p w:rsidR="0047123B" w:rsidRDefault="0047123B" w:rsidP="0047123B">
      <w:pPr>
        <w:spacing w:line="240" w:lineRule="auto"/>
        <w:rPr>
          <w:color w:val="0070C0"/>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2" w:name="_tyjcwt" w:colFirst="0" w:colLast="0"/>
      <w:bookmarkEnd w:id="22"/>
      <w:r>
        <w:rPr>
          <w:rFonts w:ascii="Calibri" w:eastAsia="Calibri" w:hAnsi="Calibri" w:cs="Calibri"/>
          <w:b/>
          <w:color w:val="2F5496"/>
          <w:sz w:val="26"/>
          <w:szCs w:val="26"/>
        </w:rPr>
        <w:t>Ausgeführte Leistungen</w:t>
      </w:r>
    </w:p>
    <w:p w:rsidR="0047123B" w:rsidRDefault="0047123B" w:rsidP="0047123B">
      <w:pPr>
        <w:spacing w:line="240" w:lineRule="auto"/>
        <w:rPr>
          <w:sz w:val="24"/>
          <w:szCs w:val="24"/>
        </w:rPr>
      </w:pPr>
    </w:p>
    <w:p w:rsidR="0047123B" w:rsidRDefault="0047123B" w:rsidP="0047123B">
      <w:pPr>
        <w:numPr>
          <w:ilvl w:val="0"/>
          <w:numId w:val="8"/>
        </w:numPr>
        <w:shd w:val="clear" w:color="auto" w:fill="FFFFFF"/>
        <w:spacing w:line="240" w:lineRule="auto"/>
        <w:rPr>
          <w:sz w:val="24"/>
          <w:szCs w:val="24"/>
        </w:rPr>
      </w:pPr>
      <w:r>
        <w:rPr>
          <w:sz w:val="24"/>
          <w:szCs w:val="24"/>
        </w:rPr>
        <w:t xml:space="preserve">Probenahme von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Fotodokumentation der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Beschreibung des Analyseauftrags und Versand der Materialproben ins Labor </w:t>
      </w:r>
    </w:p>
    <w:p w:rsidR="0047123B" w:rsidRDefault="0047123B" w:rsidP="0047123B">
      <w:pPr>
        <w:numPr>
          <w:ilvl w:val="0"/>
          <w:numId w:val="8"/>
        </w:numPr>
        <w:shd w:val="clear" w:color="auto" w:fill="FFFFFF"/>
        <w:spacing w:line="240" w:lineRule="auto"/>
        <w:rPr>
          <w:sz w:val="24"/>
          <w:szCs w:val="24"/>
        </w:rPr>
      </w:pPr>
      <w:r>
        <w:rPr>
          <w:sz w:val="24"/>
          <w:szCs w:val="24"/>
        </w:rPr>
        <w:t xml:space="preserve">Auswertung, Interpretation und Dokumentation der Analyseresultate </w:t>
      </w:r>
    </w:p>
    <w:p w:rsidR="0047123B" w:rsidRDefault="0047123B" w:rsidP="0047123B">
      <w:pPr>
        <w:numPr>
          <w:ilvl w:val="0"/>
          <w:numId w:val="8"/>
        </w:numPr>
        <w:shd w:val="clear" w:color="auto" w:fill="FFFFFF"/>
        <w:spacing w:line="240" w:lineRule="auto"/>
        <w:rPr>
          <w:sz w:val="24"/>
          <w:szCs w:val="24"/>
        </w:rPr>
      </w:pPr>
      <w:r>
        <w:rPr>
          <w:sz w:val="24"/>
          <w:szCs w:val="24"/>
        </w:rPr>
        <w:t xml:space="preserve">Berichterstattung </w:t>
      </w:r>
    </w:p>
    <w:p w:rsidR="0047123B" w:rsidRDefault="0047123B" w:rsidP="0047123B">
      <w:pPr>
        <w:numPr>
          <w:ilvl w:val="0"/>
          <w:numId w:val="8"/>
        </w:numPr>
        <w:shd w:val="clear" w:color="auto" w:fill="FFFFFF"/>
        <w:spacing w:line="240" w:lineRule="auto"/>
        <w:rPr>
          <w:sz w:val="24"/>
          <w:szCs w:val="24"/>
        </w:rPr>
      </w:pPr>
      <w:r>
        <w:rPr>
          <w:sz w:val="24"/>
          <w:szCs w:val="24"/>
        </w:rPr>
        <w:t xml:space="preserve">Laboranalytik der Asbest-Proben durch die Analysis Lab SA in Biel </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3" w:name="_3dy6vkm" w:colFirst="0" w:colLast="0"/>
      <w:bookmarkEnd w:id="23"/>
      <w:r>
        <w:rPr>
          <w:rFonts w:ascii="Calibri" w:eastAsia="Calibri" w:hAnsi="Calibri" w:cs="Calibri"/>
          <w:b/>
          <w:color w:val="2F5496"/>
          <w:sz w:val="26"/>
          <w:szCs w:val="26"/>
        </w:rPr>
        <w:t>Probenahme und Analytik</w:t>
      </w:r>
    </w:p>
    <w:p w:rsidR="0047123B" w:rsidRDefault="0047123B" w:rsidP="0047123B">
      <w:pPr>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rsidR="0047123B" w:rsidRDefault="0047123B" w:rsidP="0047123B">
      <w:pPr>
        <w:shd w:val="clear" w:color="auto" w:fill="FFFFFF"/>
        <w:spacing w:line="240" w:lineRule="auto"/>
        <w:rPr>
          <w:sz w:val="24"/>
          <w:szCs w:val="24"/>
        </w:rPr>
      </w:pPr>
      <w:r>
        <w:rPr>
          <w:sz w:val="24"/>
          <w:szCs w:val="24"/>
        </w:rPr>
        <w:br/>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4" w:name="_1t3h5sf" w:colFirst="0" w:colLast="0"/>
      <w:bookmarkEnd w:id="24"/>
      <w:r>
        <w:rPr>
          <w:rFonts w:ascii="Calibri" w:eastAsia="Calibri" w:hAnsi="Calibri" w:cs="Calibri"/>
          <w:b/>
          <w:color w:val="2F5496"/>
          <w:sz w:val="26"/>
          <w:szCs w:val="26"/>
        </w:rPr>
        <w:t>Abgrenzung der Untersuchung</w:t>
      </w:r>
    </w:p>
    <w:p w:rsidR="0047123B" w:rsidRDefault="0047123B" w:rsidP="0047123B">
      <w:pPr>
        <w:spacing w:line="240" w:lineRule="auto"/>
        <w:ind w:right="-122"/>
        <w:rPr>
          <w:sz w:val="24"/>
          <w:szCs w:val="24"/>
        </w:rPr>
      </w:pPr>
    </w:p>
    <w:p w:rsidR="0047123B" w:rsidRDefault="0047123B" w:rsidP="0047123B">
      <w:pPr>
        <w:widowControl w:val="0"/>
        <w:ind w:right="-122"/>
        <w:rPr>
          <w:sz w:val="24"/>
          <w:szCs w:val="24"/>
        </w:rPr>
      </w:pPr>
      <w:r>
        <w:rPr>
          <w:sz w:val="24"/>
          <w:szCs w:val="24"/>
        </w:rPr>
        <w:t>Die Bauschadstoffuntersuchung wurde aufgrund einer visuellen Begutachtung der Oberflächen durchgeführt und beschränkt sich auf die immobilen Bauteile.</w:t>
      </w:r>
    </w:p>
    <w:p w:rsidR="0047123B" w:rsidRDefault="0047123B" w:rsidP="0047123B">
      <w:pPr>
        <w:widowControl w:val="0"/>
        <w:spacing w:before="7" w:line="240" w:lineRule="auto"/>
        <w:ind w:right="-122"/>
        <w:rPr>
          <w:sz w:val="24"/>
          <w:szCs w:val="24"/>
        </w:rPr>
      </w:pPr>
    </w:p>
    <w:p w:rsidR="0047123B" w:rsidRDefault="0047123B" w:rsidP="0047123B">
      <w:pPr>
        <w:widowControl w:val="0"/>
        <w:ind w:right="-122"/>
        <w:rPr>
          <w:sz w:val="24"/>
          <w:szCs w:val="24"/>
        </w:rPr>
      </w:pPr>
      <w:r>
        <w:rPr>
          <w:sz w:val="24"/>
          <w:szCs w:val="24"/>
        </w:rPr>
        <w:t>Die Untersuchung bezieht sich auf die Bauschadstoffe Asbest, PCB und PAK . Weitere allfällig vorhandene Schadstoffe wie Radon, Schimmelpilze, Formaldehyd, etc. waren nicht Gegenstand der Untersuchung.</w:t>
      </w:r>
    </w:p>
    <w:p w:rsidR="0047123B" w:rsidRDefault="0047123B" w:rsidP="0047123B">
      <w:pPr>
        <w:widowControl w:val="0"/>
        <w:spacing w:before="7" w:line="240" w:lineRule="auto"/>
        <w:ind w:right="-122"/>
        <w:rPr>
          <w:sz w:val="24"/>
          <w:szCs w:val="24"/>
        </w:rPr>
      </w:pPr>
    </w:p>
    <w:p w:rsidR="0047123B" w:rsidRDefault="0047123B" w:rsidP="0047123B">
      <w:pPr>
        <w:widowControl w:val="0"/>
        <w:spacing w:line="240" w:lineRule="auto"/>
        <w:ind w:right="-122"/>
        <w:rPr>
          <w:sz w:val="24"/>
          <w:szCs w:val="24"/>
        </w:rPr>
      </w:pPr>
      <w:r>
        <w:rPr>
          <w:sz w:val="24"/>
          <w:szCs w:val="24"/>
        </w:rPr>
        <w:t>Die Wahrscheinlichkeit, dass mit der gewählten Untersuchungsmethode grössere</w:t>
      </w:r>
    </w:p>
    <w:p w:rsidR="0047123B" w:rsidRDefault="0047123B" w:rsidP="0047123B">
      <w:pPr>
        <w:widowControl w:val="0"/>
        <w:spacing w:before="41"/>
        <w:ind w:right="-122"/>
        <w:rPr>
          <w:sz w:val="24"/>
          <w:szCs w:val="24"/>
        </w:rPr>
      </w:pPr>
      <w:r>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5" w:name="_bg4jzxuw7fx" w:colFirst="0" w:colLast="0"/>
      <w:bookmarkEnd w:id="25"/>
      <w:r>
        <w:rPr>
          <w:rFonts w:ascii="Calibri" w:eastAsia="Calibri" w:hAnsi="Calibri" w:cs="Calibri"/>
          <w:b/>
          <w:color w:val="2F5496"/>
          <w:sz w:val="32"/>
          <w:szCs w:val="32"/>
        </w:rPr>
        <w:lastRenderedPageBreak/>
        <w:t>Dringlichkeit von Massnahmen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6" w:name="_e3xy3cve4spy" w:colFirst="0" w:colLast="0"/>
      <w:bookmarkEnd w:id="26"/>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rsidTr="004A1ED8">
        <w:tc>
          <w:tcPr>
            <w:tcW w:w="2269" w:type="dxa"/>
            <w:shd w:val="clear" w:color="auto" w:fill="FFFF00"/>
          </w:tcPr>
          <w:p w:rsidR="0047123B" w:rsidRDefault="0047123B" w:rsidP="004A1ED8">
            <w:pPr>
              <w:spacing w:line="240" w:lineRule="auto"/>
              <w:jc w:val="right"/>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rsidTr="004A1ED8">
        <w:trPr>
          <w:trHeight w:val="119"/>
        </w:trPr>
        <w:tc>
          <w:tcPr>
            <w:tcW w:w="2269" w:type="dxa"/>
            <w:shd w:val="clear" w:color="auto" w:fill="FF0000"/>
          </w:tcPr>
          <w:p w:rsidR="0047123B" w:rsidRDefault="0047123B" w:rsidP="004A1ED8">
            <w:pPr>
              <w:spacing w:line="240" w:lineRule="auto"/>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27" w:name="_2s8eyo1" w:colFirst="0" w:colLast="0"/>
      <w:bookmarkEnd w:id="27"/>
      <w:r>
        <w:rPr>
          <w:rFonts w:ascii="Calibri" w:eastAsia="Calibri" w:hAnsi="Calibri" w:cs="Calibri"/>
          <w:color w:val="2F5496"/>
          <w:sz w:val="32"/>
          <w:szCs w:val="32"/>
        </w:rPr>
        <w:lastRenderedPageBreak/>
        <w:t>Übersicht der Bauschadstoffvorkommen mit Sanierungsangaben</w:t>
      </w:r>
    </w:p>
    <w:p w:rsidR="0047123B" w:rsidRDefault="0047123B" w:rsidP="0047123B">
      <w:pPr>
        <w:pStyle w:val="Heading1"/>
        <w:spacing w:before="240" w:after="0" w:line="240" w:lineRule="auto"/>
        <w:ind w:left="432"/>
        <w:rPr>
          <w:rFonts w:ascii="Calibri" w:eastAsia="Calibri" w:hAnsi="Calibri" w:cs="Calibri"/>
          <w:sz w:val="24"/>
          <w:szCs w:val="24"/>
        </w:rPr>
      </w:pPr>
      <w:bookmarkStart w:id="28" w:name="_3rdcrjn" w:colFirst="0" w:colLast="0"/>
      <w:bookmarkEnd w:id="28"/>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rsidR="00DD43B4" w:rsidRDefault="00DD43B4">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r>
        <w:rPr>
          <w:rFonts w:ascii="Calibri" w:eastAsia="Calibri" w:hAnsi="Calibri" w:cs="Calibri"/>
          <w:color w:val="2F5496"/>
          <w:sz w:val="32"/>
          <w:szCs w:val="32"/>
        </w:rPr>
        <w:lastRenderedPageBreak/>
        <w:t xml:space="preserve">Sanierung der Schadstoffe </w:t>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31" w:name="_26in1rg" w:colFirst="0" w:colLast="0"/>
      <w:bookmarkEnd w:id="31"/>
      <w:r>
        <w:rPr>
          <w:rFonts w:ascii="Calibri" w:eastAsia="Calibri" w:hAnsi="Calibri" w:cs="Calibri"/>
          <w:b/>
          <w:color w:val="2F5496"/>
          <w:sz w:val="26"/>
          <w:szCs w:val="26"/>
        </w:rPr>
        <w:t>Sanierung durch instruierte Handwerker</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33" w:name="_z337ya" w:colFirst="0" w:colLast="0"/>
      <w:bookmarkEnd w:id="33"/>
      <w:r>
        <w:rPr>
          <w:rFonts w:ascii="Calibri" w:eastAsia="Calibri" w:hAnsi="Calibri" w:cs="Calibri"/>
          <w:color w:val="2F5496"/>
          <w:sz w:val="32"/>
          <w:szCs w:val="32"/>
        </w:rPr>
        <w:lastRenderedPageBreak/>
        <w:t>Entsorgung der Schadstoffe</w:t>
      </w:r>
    </w:p>
    <w:p w:rsidR="0047123B" w:rsidRDefault="0047123B" w:rsidP="0047123B">
      <w:pPr>
        <w:pStyle w:val="Heading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rsidR="0047123B" w:rsidRDefault="0047123B" w:rsidP="0047123B">
      <w:bookmarkStart w:id="34" w:name="OLE_LINK29"/>
      <w:r>
        <w:br w:type="page"/>
      </w:r>
    </w:p>
    <w:p w:rsidR="0047123B" w:rsidRPr="001F7839" w:rsidRDefault="0047123B" w:rsidP="0047123B">
      <w:r>
        <w:rPr>
          <w:rFonts w:ascii="Calibri" w:eastAsia="Calibri" w:hAnsi="Calibri" w:cs="Calibri"/>
          <w:b/>
          <w:color w:val="2F5496"/>
          <w:sz w:val="32"/>
          <w:szCs w:val="32"/>
        </w:rPr>
        <w:lastRenderedPageBreak/>
        <w:t>Empfehlung</w:t>
      </w:r>
      <w:bookmarkEnd w:id="34"/>
    </w:p>
    <w:p w:rsidR="0047123B" w:rsidRDefault="0047123B" w:rsidP="0047123B">
      <w:pPr>
        <w:spacing w:line="240" w:lineRule="auto"/>
        <w:rPr>
          <w:sz w:val="24"/>
          <w:szCs w:val="24"/>
        </w:rPr>
      </w:pPr>
    </w:p>
    <w:p>
      <w:pPr/>
      <w:r>
        <w:rPr/>
        <w:t xml:space="preserve">Nach der Analyse des Berichts und der Schadstoffvorkommen in Ihrem Gebäude empfehlen wir folgende Maßnahmen:</w:t>
      </w:r>
      <w:br/>
      <w:r>
        <w:rPr/>
        <w:t xml:space="preserve"/>
      </w:r>
      <w:br/>
      <w:r>
        <w:rPr>
          <w:b w:val="1"/>
          <w:bCs w:val="1"/>
        </w:rPr>
        <w:t xml:space="preserve">1. </w:t>
      </w:r>
      <w:r>
        <w:rPr>
          <w:b w:val="1"/>
          <w:bCs w:val="1"/>
        </w:rPr>
        <w:t xml:space="preserve">Asbest</w:t>
      </w:r>
      <w:r>
        <w:rPr/>
        <w:t xml:space="preserve">: In den von Asbest betroffenen Bereichen sollte eine Sanierung durch qualifizierte Schadstoffsanierer durchgeführt werden. Asbest ist ein hochgefährlicher Stoff, dessen Freisetzung vermieden werden muss. Achten Sie dabei auf die Einhaltung aller DKS-Richtlinien und des LVA Codes. Die Materialien sollten sicher entfernt und gemäß den Vorschriften entsorgt werden.</w:t>
      </w:r>
      <w:br/>
      <w:r>
        <w:rPr/>
        <w:t xml:space="preserve"/>
      </w:r>
      <w:br/>
      <w:r>
        <w:rPr>
          <w:b w:val="1"/>
          <w:bCs w:val="1"/>
        </w:rPr>
        <w:t xml:space="preserve">2. </w:t>
      </w:r>
      <w:r>
        <w:rPr>
          <w:b w:val="1"/>
          <w:bCs w:val="1"/>
        </w:rPr>
        <w:t xml:space="preserve">Polychlorierte Biphenyle (PCB)</w:t>
      </w:r>
      <w:r>
        <w:rPr/>
        <w:t xml:space="preserve">: Auch für PCB-belastete Materialien ist eine professionelle Schadstoffsanierung notwendig. PCB kann schwerwiegende gesundheitliche Schäden verursachen und darf nicht durch einfache Handwerksarbeiten entfernt werden. Bitte stellen Sie sicher, dass alle Arbeiten unter strengen Schutzbestimmungen erfolgen.</w:t>
      </w:r>
      <w:br/>
      <w:r>
        <w:rPr/>
        <w:t xml:space="preserve"/>
      </w:r>
      <w:br/>
      <w:r>
        <w:rPr>
          <w:b w:val="1"/>
          <w:bCs w:val="1"/>
        </w:rPr>
        <w:t xml:space="preserve">3. </w:t>
      </w:r>
      <w:r>
        <w:rPr>
          <w:b w:val="1"/>
          <w:bCs w:val="1"/>
        </w:rPr>
        <w:t xml:space="preserve">Künstliche Mineralfasern (KMF)</w:t>
      </w:r>
      <w:r>
        <w:rPr/>
        <w:t xml:space="preserve">: Bei geringeren Konzentrationen von KMF kann die Sanierung durch instruierte Handwerker erfolgen, sofern diese ausreichend geschult sind und alle Sicherheitsmaßnahmen beachten. Achten Sie darauf, dass die Arbeiten nach den festgelegten Richtlinien durchgeführt werden, um die Fasern sicher zu binden und zu entfernen.</w:t>
      </w:r>
      <w:br/>
      <w:r>
        <w:rPr/>
        <w:t xml:space="preserve"/>
      </w:r>
      <w:br/>
      <w:r>
        <w:rPr>
          <w:b w:val="1"/>
          <w:bCs w:val="1"/>
        </w:rPr>
        <w:t xml:space="preserve">4. </w:t>
      </w:r>
      <w:r>
        <w:rPr>
          <w:b w:val="1"/>
          <w:bCs w:val="1"/>
        </w:rPr>
        <w:t xml:space="preserve">Polyzyklische aromatische Kohlenwasserstoffe (PAK)</w:t>
      </w:r>
      <w:r>
        <w:rPr/>
        <w:t xml:space="preserve">: Bei Materialien mit PAK ist besondere Vorsicht geboten. Hier ist eine Fachsanierung erforderlich, um die Gesundheitsgefährdung für die Arbeiter und die spätere Raumluftqualität zu minimieren. Diese Sanierungen sollten ebenfalls unter strikter Einhaltung der DKS-Richtlinien und des LVA Codes erfolgen.</w:t>
      </w:r>
      <w:br/>
      <w:r>
        <w:rPr/>
        <w:t xml:space="preserve"/>
      </w:r>
      <w:br/>
      <w:r>
        <w:rPr/>
        <w:t xml:space="preserve">Die ordnungsgemäße Durchführung der Sanierungen gemäß den angegebenen Richtlinien ist essentiell, um die Sicherheit der Gebäudenutzer zu gewährleisten und die Wohnqualität nach der Sanierung nicht zu beeinträchtigen. Wir empfehlen die Beauftragung eines erfahrenen Schadstoffsanierungsunternehmens zur Durchführung der Arbeiten.</w:t>
      </w:r>
      <w:br/>
    </w:p>
    <w:p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6" w:name="_1ksv4uv" w:colFirst="0" w:colLast="0"/>
      <w:bookmarkEnd w:id="0"/>
      <w:bookmarkEnd w:id="36"/>
    </w:p>
    <w:p w:rsidR="003568DE" w:rsidRPr="008824DE" w:rsidRDefault="003568DE" w:rsidP="003568DE">
      <w:pPr>
        <w:spacing w:line="240" w:lineRule="auto"/>
        <w:rPr>
          <w:sz w:val="24"/>
          <w:szCs w:val="24"/>
        </w:rPr>
      </w:pPr>
      <w:bookmarkStart w:id="37" w:name="OLE_LINK2"/>
      <w:r>
        <w:rPr>
          <w:rFonts w:ascii="Calibri" w:eastAsia="Calibri" w:hAnsi="Calibri" w:cs="Calibri"/>
          <w:b/>
          <w:color w:val="2F5496"/>
          <w:sz w:val="32"/>
          <w:szCs w:val="32"/>
        </w:rPr>
        <w:lastRenderedPageBreak/>
        <w:t>Zusätzliche Beigaben</w:t>
      </w:r>
    </w:p>
    <w:p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diverse Lokationen
</w:t>
            </w:r>
          </w:p>
          <w:p>
            <w:pPr/>
            <w:r>
              <w:rPr/>
              <w:t xml:space="preserve">diverse Stockwerke
</w:t>
            </w:r>
          </w:p>
        </w:tc>
        <w:tc>
          <w:tcPr>
            <w:noWrap/>
          </w:tcPr>
          <w:p>
            <w:pPr/>
            <w:r>
              <w:rPr/>
              <w:t xml:space="preserve">VM-1
</w:t>
            </w:r>
          </w:p>
          <w:p>
            <w:pPr/>
            <w:r>
              <w:rPr/>
              <w:t xml:space="preserve">Parkettkleber
</w:t>
            </w:r>
          </w:p>
        </w:tc>
        <w:tc>
          <w:tcPr>
            <w:noWrap/>
          </w:tcPr>
          <w:p>
            <w:pPr/>
            <w:r>
              <w:rPr/>
              <w:t xml:space="preserve"/>
            </w:r>
          </w:p>
        </w:tc>
        <w:tc>
          <w:tcPr>
            <w:noWrap/>
          </w:tcPr>
          <w:p>
            <w:pPr/>
            <w:r>
              <w:rPr/>
              <w:t xml:space="preserve"/>
              <w:pict>
                <v:shape type="#_x0000_t75" style="width:100px;height:150px" stroked="f" filled="f">
                  <v:imagedata r:id="rId15" o:title=""/>
                </v:shape>
              </w:pict>
              <w:t xml:space="preserve"/>
            </w:r>
          </w:p>
        </w:tc>
        <w:tc>
          <w:tcPr>
            <w:noWrap/>
          </w:tcPr>
          <w:p>
            <w:pPr/>
            <w:r>
              <w:rPr/>
              <w:t xml:space="preserve"/>
              <w:pict>
                <v:shape type="#_x0000_t75" style="width:100px;height:150px" stroked="f" filled="f">
                  <v:imagedata r:id="rId16" o:title=""/>
                </v:shape>
              </w:pict>
              <w:t xml:space="preserve"/>
            </w:r>
          </w:p>
        </w:tc>
      </w:tr>
      <w:tr>
        <w:trPr/>
        <w:tc>
          <w:tcPr>
            <w:shd w:val="clear"/>
            <w:noWrap/>
          </w:tcPr>
          <w:p>
            <w:pPr/>
            <w:r>
              <w:rPr/>
              <w:t xml:space="preserve">MaP-2</w:t>
            </w:r>
          </w:p>
        </w:tc>
        <w:tc>
          <w:tcPr>
            <w:noWrap/>
          </w:tcPr>
          <w:p>
            <w:pPr/>
            <w:r>
              <w:rPr/>
              <w:t xml:space="preserve">Dach
</w:t>
            </w:r>
          </w:p>
          <w:p>
            <w:pPr/>
            <w:r>
              <w:rPr/>
              <w:t xml:space="preserve">Dach
</w:t>
            </w:r>
          </w:p>
        </w:tc>
        <w:tc>
          <w:tcPr>
            <w:noWrap/>
          </w:tcPr>
          <w:p>
            <w:pPr/>
            <w:r>
              <w:rPr/>
              <w:t xml:space="preserve">VM-2
</w:t>
            </w:r>
          </w:p>
          <w:p>
            <w:pPr/>
            <w:r>
              <w:rPr/>
              <w:t xml:space="preserve">Dachpappe
</w:t>
            </w:r>
          </w:p>
          <w:p>
            <w:pPr/>
            <w:r>
              <w:rPr/>
              <w:t xml:space="preserve">schwarz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VB-2</w:t>
            </w:r>
          </w:p>
        </w:tc>
        <w:tc>
          <w:tcPr>
            <w:noWrap/>
          </w:tcPr>
          <w:p>
            <w:pPr/>
            <w:r>
              <w:rPr/>
              <w:t xml:space="preserve">WC
</w:t>
            </w:r>
          </w:p>
          <w:p>
            <w:pPr/>
            <w:r>
              <w:rPr/>
              <w:t xml:space="preserve">EG
</w:t>
            </w:r>
          </w:p>
        </w:tc>
        <w:tc>
          <w:tcPr>
            <w:noWrap/>
          </w:tcPr>
          <w:p>
            <w:pPr/>
            <w:r>
              <w:rPr/>
              <w:t xml:space="preserve">VM-4
</w:t>
            </w:r>
          </w:p>
          <w:p>
            <w:pPr/>
            <w:r>
              <w:rPr/>
              <w:t xml:space="preserve">Fliesenkleber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VB-1</w:t>
            </w:r>
          </w:p>
        </w:tc>
        <w:tc>
          <w:tcPr>
            <w:noWrap/>
          </w:tcPr>
          <w:p>
            <w:pPr/>
            <w:r>
              <w:rPr/>
              <w:t xml:space="preserve">diverse Lokationen
</w:t>
            </w:r>
          </w:p>
          <w:p>
            <w:pPr/>
            <w:r>
              <w:rPr/>
              <w:t xml:space="preserve">diverse Stockwerke
</w:t>
            </w:r>
          </w:p>
        </w:tc>
        <w:tc>
          <w:tcPr>
            <w:noWrap/>
          </w:tcPr>
          <w:p>
            <w:pPr/>
            <w:r>
              <w:rPr/>
              <w:t xml:space="preserve">VM-3
</w:t>
            </w:r>
          </w:p>
          <w:p>
            <w:pPr/>
            <w:r>
              <w:rPr/>
              <w:t xml:space="preserve">Zwischenbodenschlacke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bl>
    <w:p w:rsidR="009641C4" w:rsidRDefault="009641C4">
      <w:pPr>
        <w:rPr>
          <w:sz w:val="24"/>
          <w:szCs w:val="24"/>
        </w:rPr>
      </w:pPr>
      <w:r>
        <w:rPr>
          <w:sz w:val="24"/>
          <w:szCs w:val="24"/>
        </w:rPr>
        <w:br w:type="page"/>
      </w:r>
    </w:p>
    <w:p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pict>
          <v:shape type="#_x0000_t75" style="width:706.65083135392px;height:1000px" stroked="f" filled="f">
            <v:imagedata r:id="rId13" o:title=""/>
          </v:shape>
        </w:pict>
        <w:t/>
        <w:pict>
          <v:shape type="#_x0000_t75" style="width:706.65083135392px;height:1000px" stroked="f" filled="f">
            <v:imagedata r:id="rId14" o:title=""/>
          </v:shape>
        </w:pict>
        <w:t/>
      </w:r>
      <w:bookmarkEnd w:id="37"/>
    </w:p>
    <w:p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4B15" w:rsidRDefault="006F4B15">
      <w:pPr>
        <w:spacing w:line="240" w:lineRule="auto"/>
      </w:pPr>
      <w:r>
        <w:separator/>
      </w:r>
    </w:p>
  </w:endnote>
  <w:endnote w:type="continuationSeparator" w:id="0">
    <w:p w:rsidR="006F4B15" w:rsidRDefault="006F4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4B15" w:rsidRDefault="006F4B15">
      <w:pPr>
        <w:spacing w:line="240" w:lineRule="auto"/>
      </w:pPr>
      <w:r>
        <w:separator/>
      </w:r>
    </w:p>
  </w:footnote>
  <w:footnote w:type="continuationSeparator" w:id="0">
    <w:p w:rsidR="006F4B15" w:rsidRDefault="006F4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7B952AAB" wp14:editId="2492E326">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rsidR="0075688F" w:rsidRDefault="0075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118" w:rsidRDefault="00A76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CCA2A8F"/>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2"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5"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7"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4"/>
  </w:num>
  <w:num w:numId="2" w16cid:durableId="1529836759">
    <w:abstractNumId w:val="3"/>
  </w:num>
  <w:num w:numId="3" w16cid:durableId="450131810">
    <w:abstractNumId w:val="7"/>
  </w:num>
  <w:num w:numId="4" w16cid:durableId="1315834406">
    <w:abstractNumId w:val="0"/>
  </w:num>
  <w:num w:numId="5" w16cid:durableId="1698697349">
    <w:abstractNumId w:val="1"/>
  </w:num>
  <w:num w:numId="6" w16cid:durableId="1246719996">
    <w:abstractNumId w:val="6"/>
  </w:num>
  <w:num w:numId="7" w16cid:durableId="81143695">
    <w:abstractNumId w:val="2"/>
  </w:num>
  <w:num w:numId="8" w16cid:durableId="259604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431D24"/>
    <w:rsid w:val="0047123B"/>
    <w:rsid w:val="004C7A30"/>
    <w:rsid w:val="004F3F84"/>
    <w:rsid w:val="0050786D"/>
    <w:rsid w:val="00517E33"/>
    <w:rsid w:val="00543DEA"/>
    <w:rsid w:val="00586ED7"/>
    <w:rsid w:val="0062329B"/>
    <w:rsid w:val="006F4B15"/>
    <w:rsid w:val="00706F97"/>
    <w:rsid w:val="0075688F"/>
    <w:rsid w:val="007F0642"/>
    <w:rsid w:val="008824DE"/>
    <w:rsid w:val="008A5A24"/>
    <w:rsid w:val="008D7176"/>
    <w:rsid w:val="00952054"/>
    <w:rsid w:val="009641C4"/>
    <w:rsid w:val="00991B2D"/>
    <w:rsid w:val="009C7A42"/>
    <w:rsid w:val="009F38C7"/>
    <w:rsid w:val="00A40263"/>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5B91"/>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48</cp:revision>
  <dcterms:created xsi:type="dcterms:W3CDTF">2024-12-20T12:00:00Z</dcterms:created>
  <dcterms:modified xsi:type="dcterms:W3CDTF">2025-01-08T01:51:00Z</dcterms:modified>
</cp:coreProperties>
</file>