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65,79 %</w:t>
            </w:r>
          </w:p>
          <w:p>
            <w:pPr>
              <w:spacing w:before="0" w:after="0" w:line="240" w:lineRule="auto"/>
            </w:pPr>
            <w:r>
              <w:t>Risikomenge: 0.62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85,14 %</w:t>
            </w:r>
          </w:p>
          <w:p>
            <w:pPr>
              <w:spacing w:before="0" w:after="0" w:line="240" w:lineRule="auto"/>
            </w:pPr>
            <w:r>
              <w:t>Risikomenge: 0.59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54 m²</w:t>
            </w:r>
          </w:p>
          <w:p>
            <w:pPr>
              <w:spacing w:before="0" w:after="0" w:line="240" w:lineRule="auto"/>
            </w:pPr>
            <w:r>
              <w:t>Aussagesicherheit: 96,595 %</w:t>
            </w:r>
          </w:p>
          <w:p>
            <w:pPr>
              <w:spacing w:before="0" w:after="0" w:line="240" w:lineRule="auto"/>
            </w:pPr>
            <w:r>
              <w:t>Risikomenge: 1.47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Teppich 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50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Sockelleiste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60 m²</w:t>
            </w:r>
          </w:p>
          <w:p>
            <w:pPr>
              <w:spacing w:before="0" w:after="0" w:line="240" w:lineRule="auto"/>
            </w:pPr>
            <w:r>
              <w:t>Aussagesicherheit: 99,623 %</w:t>
            </w:r>
          </w:p>
          <w:p>
            <w:pPr>
              <w:spacing w:before="0" w:after="0" w:line="240" w:lineRule="auto"/>
            </w:pPr>
            <w:r>
              <w:t>Risikomenge: 0.22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Holzzement Platten</w:t>
            </w:r>
          </w:p>
          <w:p>
            <w:pPr>
              <w:spacing w:before="0" w:after="0" w:line="240" w:lineRule="auto"/>
            </w:pPr>
            <w:r>
              <w:t>Spagettiplatten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>FZ 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Heizkörper</w:t>
            </w:r>
          </w:p>
          <w:p>
            <w:pPr>
              <w:spacing w:before="0" w:after="0" w:line="240" w:lineRule="auto"/>
            </w:pPr>
            <w:r>
              <w:t>Farbanstrich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3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schwermettall: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