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Brandschutz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Faserzement/ LAP</w:t>
            </w:r>
          </w:p>
          <w:p>
            <w:pPr>
              <w:spacing w:before="0" w:after="0" w:line="240" w:lineRule="auto"/>
            </w:pPr>
            <w:r>
              <w:t>Elektrotableau mit Holzrahmen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Cushion-Vinyl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14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Korkisolation</w:t>
            </w:r>
          </w:p>
          <w:p>
            <w:pPr>
              <w:spacing w:before="0" w:after="0" w:line="240" w:lineRule="auto"/>
            </w:pPr>
            <w:r>
              <w:t>Matte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Tapete mit 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alte 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Sockelkleber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Wand und 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36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OG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Deckputz 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Grundputz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Schichtanalyse </w:t>
            </w:r>
          </w:p>
          <w:p>
            <w:pPr>
              <w:spacing w:before="0" w:after="0" w:line="240" w:lineRule="auto"/>
            </w:pPr>
            <w:r>
              <w:t>Fassadenputz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Hubstrasse 7 Hubstrasse 7, 8560 Märstetten, Schweiz</w:t>
          </w:r>
        </w:p>
        <w:p>
          <w:pPr>
            <w:spacing w:before="0" w:after="0"/>
          </w:pPr>
          <w:r>
            <w:t>486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