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Fassade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Fensterkitt</w:t>
            </w:r>
          </w:p>
          <w:p>
            <w:pPr>
              <w:spacing w:before="0" w:after="0" w:line="240" w:lineRule="auto"/>
            </w:pPr>
            <w:r>
              <w:t>Fenster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Blumenkisten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Gipsdecke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Fliesen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MaP-4</w:t>
            </w:r>
          </w:p>
          <w:p>
            <w:pPr>
              <w:spacing w:before="0" w:after="0" w:line="240" w:lineRule="auto"/>
            </w:pPr>
            <w:r>
              <w:t>MaP-15</w:t>
            </w:r>
          </w:p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31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MaP-8</w:t>
            </w:r>
          </w:p>
          <w:p>
            <w:pPr>
              <w:spacing w:before="0" w:after="0" w:line="240" w:lineRule="auto"/>
            </w:pPr>
            <w:r>
              <w:t>MaP-9</w:t>
            </w:r>
          </w:p>
          <w:p>
            <w:pPr>
              <w:spacing w:before="0" w:after="0" w:line="240" w:lineRule="auto"/>
            </w:pPr>
            <w:r>
              <w:t>MaP-13</w:t>
            </w:r>
          </w:p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85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Verputz</w:t>
            </w:r>
          </w:p>
          <w:p>
            <w:pPr>
              <w:spacing w:before="0" w:after="0" w:line="240" w:lineRule="auto"/>
            </w:pPr>
            <w:r>
              <w:t>Decke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MaP-10</w:t>
            </w:r>
          </w:p>
          <w:p>
            <w:pPr>
              <w:spacing w:before="0" w:after="0" w:line="240" w:lineRule="auto"/>
            </w:pPr>
            <w:r>
              <w:t>MaP-14</w:t>
            </w:r>
          </w:p>
          <w:p>
            <w:pPr>
              <w:spacing w:before="0" w:after="0" w:line="240" w:lineRule="auto"/>
            </w:pPr>
            <w:r>
              <w:t>MaP-16</w:t>
            </w:r>
          </w:p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52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Treppe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12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Elektrokasten</w:t>
            </w:r>
          </w:p>
          <w:p>
            <w:pPr>
              <w:spacing w:before="0" w:after="0" w:line="240" w:lineRule="auto"/>
            </w:pPr>
            <w:r>
              <w:t>Faserzementplatte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(elastische) Bodenbeläge Cushion Vinyl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6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Leichtbauelemente</w:t>
            </w:r>
          </w:p>
          <w:p>
            <w:pPr>
              <w:spacing w:before="0" w:after="0" w:line="240" w:lineRule="auto"/>
            </w:pPr>
            <w:r>
              <w:t>Zementgebundene Holzfaserplatten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Fallrohr FZ</w:t>
            </w:r>
          </w:p>
          <w:p>
            <w:pPr>
              <w:spacing w:before="0" w:after="0" w:line="240" w:lineRule="auto"/>
            </w:pPr>
            <w:r>
              <w:t>Fallroht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lose 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Dachabdeckung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30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24.00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Dachpappe</w:t>
            </w:r>
          </w:p>
          <w:p>
            <w:pPr>
              <w:spacing w:before="0" w:after="0" w:line="240" w:lineRule="auto"/>
            </w:pPr>
            <w:r>
              <w:t>Dachabdichtung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5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  <w:p>
            <w:pPr>
              <w:spacing w:before="0" w:after="0" w:line="240" w:lineRule="auto"/>
            </w:pPr>
            <w:r>
              <w:rPr>
                <w:color w:val="b9561f"/>
              </w:rPr>
              <w:t>PAK: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/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Bodenbelag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18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477</w:t>
          </w:r>
        </w:p>
        <w:p>
          <w:pPr>
            <w:spacing w:before="0" w:after="0"/>
          </w:pPr>
          <w:r>
            <w:t>477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