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Safe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 </w:t>
            </w:r>
          </w:p>
          <w:p>
            <w:pPr>
              <w:spacing w:before="0" w:after="0" w:line="240" w:lineRule="auto"/>
            </w:pPr>
            <w:r>
              <w:t>Unterdach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Faserzement/ LAP</w:t>
            </w:r>
          </w:p>
          <w:p>
            <w:pPr>
              <w:spacing w:before="0" w:after="0" w:line="240" w:lineRule="auto"/>
            </w:pPr>
            <w:r>
              <w:t>Elektrotableau mit Holzrahmen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alte Fenster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Schnur</w:t>
            </w:r>
          </w:p>
          <w:p>
            <w:pPr>
              <w:spacing w:before="0" w:after="0" w:line="240" w:lineRule="auto"/>
            </w:pPr>
            <w:r>
              <w:t>Kamin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Faserzement / LAP / Schnüre</w:t>
            </w:r>
          </w:p>
          <w:p>
            <w:pPr>
              <w:spacing w:before="0" w:after="0" w:line="240" w:lineRule="auto"/>
            </w:pPr>
            <w:r>
              <w:t>Kamin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Korkmatte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Hauptstrasse 23 Hauptstrasse 23, 9556 Affeltrangen, Schweiz</w:t>
          </w:r>
        </w:p>
        <w:p>
          <w:pPr>
            <w:spacing w:before="0" w:after="0"/>
          </w:pPr>
          <w:r>
            <w:t>489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