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16 m²</w:t>
            </w:r>
          </w:p>
          <w:p>
            <w:pPr>
              <w:spacing w:before="0" w:after="0" w:line="240" w:lineRule="auto"/>
            </w:pPr>
            <w:r>
              <w:t>Aussagesicherheit: 82,853 %</w:t>
            </w:r>
          </w:p>
          <w:p>
            <w:pPr>
              <w:spacing w:before="0" w:after="0" w:line="240" w:lineRule="auto"/>
            </w:pPr>
            <w:r>
              <w:t>Risikomenge: 2.19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