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400"/>
        <w:gridCol w:w="2100"/>
        <w:gridCol w:w="2100"/>
        <w:gridCol w:w="1400"/>
        <w:gridCol w:w="3500"/>
        <w:gridCol w:w="35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Beschreibung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Proben/Visuelle Befunde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Menge/Statistik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Einstufung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>Quantität: 6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Klebstoffe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MaP-5</w:t>
            </w:r>
          </w:p>
        </w:tc>
        <w:tc>
          <w:p>
            <w:pPr>
              <w:spacing w:before="0" w:after="0" w:line="240" w:lineRule="auto"/>
            </w:pPr>
            <w:r>
              <w:t>Quantität: 13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VM-6</w:t>
            </w:r>
          </w:p>
        </w:tc>
        <w:tc>
          <w:p>
            <w:pPr>
              <w:spacing w:before="0" w:after="0" w:line="240" w:lineRule="auto"/>
            </w:pPr>
            <w:r>
              <w:t>Klebstoffe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WHG. Waidstrasse 48, 307 Illnau-Effretikon</w:t>
          </w:r>
        </w:p>
        <w:p>
          <w:pPr>
            <w:spacing w:before="0" w:after="0"/>
          </w:pPr>
          <w:r>
            <w:t>457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Verdachtsmomente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