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unter Laminat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 Isolation </w:t>
            </w:r>
          </w:p>
          <w:p>
            <w:pPr>
              <w:spacing w:before="0" w:after="0" w:line="240" w:lineRule="auto"/>
            </w:pPr>
            <w:r>
              <w:t>Heizungsrohre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Fallrohre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Kellertür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Umbau nach 1990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  <w:p>
            <w:pPr>
              <w:spacing w:before="0" w:after="0" w:line="240" w:lineRule="auto"/>
            </w:pPr>
            <w:r>
              <w:t>VB-8</w:t>
            </w:r>
          </w:p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  <w:p>
            <w:pPr>
              <w:spacing w:before="0" w:after="0" w:line="240" w:lineRule="auto"/>
            </w:pPr>
            <w:r>
              <w:t>Konstruktions-, und Verkleidungsholz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Tankanstrich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  <w:p>
            <w:pPr>
              <w:spacing w:before="0" w:after="0" w:line="240" w:lineRule="auto"/>
            </w:pPr>
            <w:r>
              <w:t>Steigzone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Divers: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CUCi</w:t>
          </w:r>
        </w:p>
        <w:p>
          <w:pPr>
            <w:spacing w:before="0" w:after="0"/>
          </w:pPr>
          <w:r>
            <w:t>405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