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81,27 %</w:t>
            </w:r>
          </w:p>
          <w:p>
            <w:pPr>
              <w:spacing w:before="0" w:after="0" w:line="240" w:lineRule="auto"/>
            </w:pPr>
            <w:r>
              <w:t>Risikomenge: 11.99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81,135 %</w:t>
            </w:r>
          </w:p>
          <w:p>
            <w:pPr>
              <w:spacing w:before="0" w:after="0" w:line="240" w:lineRule="auto"/>
            </w:pPr>
            <w:r>
              <w:t>Risikomenge: 15.09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spezielle Mörtel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Buttenberg 5, 6247 Schötz</w:t>
          </w:r>
        </w:p>
        <w:p>
          <w:pPr>
            <w:spacing w:before="0" w:after="0"/>
          </w:pPr>
          <w:r>
            <w:t>281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