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2326" w:type="dxa"/>
          </w:tcPr>
          <w:p>
            <w:pPr>
              <w:spacing w:before="0" w:after="0"/>
            </w:pPr>
            <w:r>
              <w:rPr>
                <w:b w:val="true"/>
              </w:rPr>
              <w:t>MiP-1</w:t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>MaP-15</w:t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>Wände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2326" w:type="dxa"/>
          </w:tcPr>
          <w:p>
            <w:pPr>
              <w:spacing w:before="0" w:after="0"/>
            </w:pPr>
            <w:r>
              <w:t>Asbest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Andreas Caminada</w:t>
          </w:r>
        </w:p>
        <w:p>
          <w:pPr>
            <w:spacing w:before="0" w:after="0"/>
          </w:pPr>
          <w:r>
            <w:t>225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