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352839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76339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ArtReal AG</w:t>
            </w:r>
          </w:p>
          <w:p>
            <w:pPr>
              <w:spacing w:before="0" w:after="0" w:line="240" w:lineRule="auto"/>
            </w:pPr>
            <w:r>
              <w:rPr/>
              <w:t>Hertistrasse 25</w:t>
            </w:r>
          </w:p>
          <w:p>
            <w:pPr>
              <w:spacing w:before="0" w:after="0" w:line="240" w:lineRule="auto"/>
            </w:pPr>
            <w:r>
              <w:rPr/>
              <w:t>8304 Wallisellen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2581275" cy="720000"/>
                  <wp:effectExtent l="0" t="0" r="0" b="0"/>
                  <wp:docPr id="1767595121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39181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275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