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Kamin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Wandbeläge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14 m²</w:t>
            </w:r>
          </w:p>
          <w:p>
            <w:pPr>
              <w:spacing w:before="0" w:after="0" w:line="240" w:lineRule="auto"/>
            </w:pPr>
            <w:r>
              <w:t>Aussagesicherheit: 62,647 %</w:t>
            </w:r>
          </w:p>
          <w:p>
            <w:pPr>
              <w:spacing w:before="0" w:after="0" w:line="240" w:lineRule="auto"/>
            </w:pPr>
            <w:r>
              <w:t>Risikomenge: 3.14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(elastische) Bodenbeläge / Wand </w:t>
            </w:r>
          </w:p>
          <w:p>
            <w:pPr>
              <w:spacing w:before="0" w:after="0" w:line="240" w:lineRule="auto"/>
            </w:pPr>
            <w:r>
              <w:t>Boden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7 m²</w:t>
            </w:r>
          </w:p>
          <w:p>
            <w:pPr>
              <w:spacing w:before="0" w:after="0" w:line="240" w:lineRule="auto"/>
            </w:pPr>
            <w:r>
              <w:t>Aussagesicherheit: 63,76 %</w:t>
            </w:r>
          </w:p>
          <w:p>
            <w:pPr>
              <w:spacing w:before="0" w:after="0" w:line="240" w:lineRule="auto"/>
            </w:pPr>
            <w:r>
              <w:t>Risikomenge: 1.52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(elastische) Wandbeläge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>Aussagesicherheit: 64,462 %</w:t>
            </w:r>
          </w:p>
          <w:p>
            <w:pPr>
              <w:spacing w:before="0" w:after="0" w:line="240" w:lineRule="auto"/>
            </w:pPr>
            <w:r>
              <w:t>Risikomenge: 1.07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9 m²</w:t>
            </w:r>
          </w:p>
          <w:p>
            <w:pPr>
              <w:spacing w:before="0" w:after="0" w:line="240" w:lineRule="auto"/>
            </w:pPr>
            <w:r>
              <w:t>Aussagesicherheit: 63,31 %</w:t>
            </w:r>
          </w:p>
          <w:p>
            <w:pPr>
              <w:spacing w:before="0" w:after="0" w:line="240" w:lineRule="auto"/>
            </w:pPr>
            <w:r>
              <w:t>Risikomenge: 1.98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>Aussagesicherheit: 85,14 %</w:t>
            </w:r>
          </w:p>
          <w:p>
            <w:pPr>
              <w:spacing w:before="0" w:after="0" w:line="240" w:lineRule="auto"/>
            </w:pPr>
            <w:r>
              <w:t>Risikomenge: 0.59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MaP-181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>Aussagesicherheit: 64,462 %</w:t>
            </w:r>
          </w:p>
          <w:p>
            <w:pPr>
              <w:spacing w:before="0" w:after="0" w:line="240" w:lineRule="auto"/>
            </w:pPr>
            <w:r>
              <w:t>Risikomenge: 1.07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MaP-191</w:t>
            </w:r>
          </w:p>
        </w:tc>
        <w:tc>
          <w:p>
            <w:pPr>
              <w:spacing w:before="0" w:after="0" w:line="240" w:lineRule="auto"/>
            </w:pPr>
            <w:r>
              <w:t>Quantität: 9 m²</w:t>
            </w:r>
          </w:p>
          <w:p>
            <w:pPr>
              <w:spacing w:before="0" w:after="0" w:line="240" w:lineRule="auto"/>
            </w:pPr>
            <w:r>
              <w:t>Aussagesicherheit: 63,31 %</w:t>
            </w:r>
          </w:p>
          <w:p>
            <w:pPr>
              <w:spacing w:before="0" w:after="0" w:line="240" w:lineRule="auto"/>
            </w:pPr>
            <w:r>
              <w:t>Risikomenge: 1.98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(elastische) Beläge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(elastische) Bodenbeläge 2. Lage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>grün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MaP-1112</w:t>
            </w:r>
          </w:p>
        </w:tc>
        <w:tc>
          <w:p>
            <w:pPr>
              <w:spacing w:before="0" w:after="0" w:line="240" w:lineRule="auto"/>
            </w:pPr>
            <w:r>
              <w:t>Quantität: 14 m²</w:t>
            </w:r>
          </w:p>
          <w:p>
            <w:pPr>
              <w:spacing w:before="0" w:after="0" w:line="240" w:lineRule="auto"/>
            </w:pPr>
            <w:r>
              <w:t>Aussagesicherheit: 62,647 %</w:t>
            </w:r>
          </w:p>
          <w:p>
            <w:pPr>
              <w:spacing w:before="0" w:after="0" w:line="240" w:lineRule="auto"/>
            </w:pPr>
            <w:r>
              <w:t>Risikomenge: 3.14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Oberdorfstrasse 10, 9102 Herisau</w:t>
          </w:r>
        </w:p>
        <w:p>
          <w:pPr>
            <w:spacing w:before="0" w:after="0"/>
          </w:pPr>
          <w:r>
            <w:t>117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