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27 m²</w:t>
            </w:r>
          </w:p>
          <w:p>
            <w:pPr>
              <w:spacing w:before="0" w:after="0" w:line="240" w:lineRule="auto"/>
            </w:pPr>
            <w:r>
              <w:t>Aussagesicherheit: 61,9 %</w:t>
            </w:r>
          </w:p>
          <w:p>
            <w:pPr>
              <w:spacing w:before="0" w:after="0" w:line="240" w:lineRule="auto"/>
            </w:pPr>
            <w:r>
              <w:t>Risikomenge: 6.17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109 m²</w:t>
            </w:r>
          </w:p>
          <w:p>
            <w:pPr>
              <w:spacing w:before="0" w:after="0" w:line="240" w:lineRule="auto"/>
            </w:pPr>
            <w:r>
              <w:t>Aussagesicherheit: 60,942 %</w:t>
            </w:r>
          </w:p>
          <w:p>
            <w:pPr>
              <w:spacing w:before="0" w:after="0" w:line="240" w:lineRule="auto"/>
            </w:pPr>
            <w:r>
              <w:t>Risikomenge: 25.54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Oberer Graben 46, 9000 St. Gallen  </w:t>
          </w:r>
        </w:p>
        <w:p>
          <w:pPr>
            <w:spacing w:before="0" w:after="0"/>
          </w:pPr>
          <w:r>
            <w:t>184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