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20.00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>Aussagesicherheit: 21,44 %</w:t>
            </w:r>
          </w:p>
          <w:p>
            <w:pPr>
              <w:spacing w:before="0" w:after="0" w:line="240" w:lineRule="auto"/>
            </w:pPr>
            <w:r>
              <w:t>Risikomenge: 2.51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22,93 %</w:t>
            </w:r>
          </w:p>
          <w:p>
            <w:pPr>
              <w:spacing w:before="0" w:after="0" w:line="240" w:lineRule="auto"/>
            </w:pPr>
            <w:r>
              <w:t>Risikomenge: 0.62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Krieswinkelstrasse 16, 8599 Salmsach</w:t>
          </w:r>
        </w:p>
        <w:p>
          <w:pPr>
            <w:spacing w:before="0" w:after="0"/>
          </w:pPr>
          <w:r>
            <w:t>1125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