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 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  <w:p>
            <w:pPr>
              <w:spacing w:before="0" w:after="0" w:line="240" w:lineRule="auto"/>
            </w:pPr>
            <w:r>
              <w:t>Dichtung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Einbau neueren Datums</w:t>
            </w:r>
          </w:p>
          <w:p>
            <w:pPr>
              <w:spacing w:before="0" w:after="0" w:line="240" w:lineRule="auto"/>
            </w:pPr>
            <w:r>
              <w:t>Bodenaufbau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  <w:p>
            <w:pPr>
              <w:spacing w:before="0" w:after="0" w:line="240" w:lineRule="auto"/>
            </w:pPr>
            <w:r>
              <w:rPr>
                <w:color w:val="c1362c"/>
              </w:rPr>
              <w:t>Holzschutzmittel: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Rohranschlüsse</w:t>
            </w:r>
          </w:p>
          <w:p>
            <w:pPr>
              <w:spacing w:before="0" w:after="0" w:line="240" w:lineRule="auto"/>
            </w:pPr>
            <w:r>
              <w:t>Abzug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Via della Staziun 10, Rhäzüns</w:t>
          </w:r>
        </w:p>
        <w:p>
          <w:pPr>
            <w:spacing w:before="0" w:after="0"/>
          </w:pPr>
          <w:r>
            <w:t>1061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