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55 m²</w:t>
            </w:r>
          </w:p>
          <w:p>
            <w:pPr>
              <w:spacing w:before="0" w:after="0" w:line="240" w:lineRule="auto"/>
            </w:pPr>
            <w:r>
              <w:t>Aussagesicherheit: 81,53 %</w:t>
            </w:r>
          </w:p>
          <w:p>
            <w:pPr>
              <w:spacing w:before="0" w:after="0" w:line="240" w:lineRule="auto"/>
            </w:pPr>
            <w:r>
              <w:t>Risikomenge: 8.13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80.00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20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>Aussagesicherheit: 81,92 %</w:t>
            </w:r>
          </w:p>
          <w:p>
            <w:pPr>
              <w:spacing w:before="0" w:after="0" w:line="240" w:lineRule="auto"/>
            </w:pPr>
            <w:r>
              <w:t>Risikomenge: 5.06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</w:t>
          </w:r>
        </w:p>
        <w:p>
          <w:pPr>
            <w:spacing w:before="0" w:after="0"/>
          </w:pPr>
          <w:r>
            <w:t>DN 1014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