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82,28 %</w:t>
            </w:r>
          </w:p>
          <w:p>
            <w:pPr>
              <w:spacing w:before="0" w:after="0" w:line="240" w:lineRule="auto"/>
            </w:pPr>
            <w:r>
              <w:t>Risikomenge: 3.54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Heizung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Dilitations Fuge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82,08 %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>Fensterflügel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50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Kindergarten Obere Zelglistrasse 13/ 15, 8600 Dübendorf</w:t>
          </w:r>
        </w:p>
        <w:p>
          <w:pPr>
            <w:spacing w:before="0" w:after="0"/>
          </w:pPr>
          <w:r>
            <w:t>1002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