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MaP-99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105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MaP-97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99,99 %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Einbau nach 1990</w:t>
            </w:r>
          </w:p>
          <w:p>
            <w:pPr>
              <w:spacing w:before="0" w:after="0" w:line="240" w:lineRule="auto"/>
            </w:pPr>
            <w:r>
              <w:t>Boden/Wände/Decke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hinter Leuchtmittel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Anschlüsse 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senkrechte Trennwände, lose montiert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20.00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Spritzmassen</w:t>
            </w:r>
          </w:p>
          <w:p>
            <w:pPr>
              <w:spacing w:before="0" w:after="0" w:line="240" w:lineRule="auto"/>
            </w:pPr>
            <w:r>
              <w:t>Träger 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MaP-90</w:t>
            </w:r>
          </w:p>
        </w:tc>
        <w:tc>
          <w:p>
            <w:pPr>
              <w:spacing w:before="0" w:after="0" w:line="240" w:lineRule="auto"/>
            </w:pPr>
            <w:r>
              <w:t>Quantität: 60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>Sämtliche Holzbauteile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Hotel Bahnhofstrasse 5, Möriken-Wildegg </w:t>
          </w:r>
        </w:p>
        <w:p>
          <w:pPr>
            <w:spacing w:before="0" w:after="0"/>
          </w:pPr>
          <w:r>
            <w:t>971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